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Cinelli Dennis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2"/>
        <w:gridCol w:w="771"/>
        <w:gridCol w:w="599"/>
        <w:gridCol w:w="347"/>
        <w:gridCol w:w="1055"/>
        <w:gridCol w:w="452"/>
        <w:gridCol w:w="667"/>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187,500</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292,633</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95,401</w:t>
            </w:r>
            <w:r>
              <w:rPr>
                <w:rFonts w:ascii="Times;serif" w:hAnsi="Times;serif"/>
                <w:color w:val="008000"/>
                <w:position w:val="7"/>
                <w:sz w:val="16"/>
                <w:sz w:val="20"/>
                <w:shd w:fill="FFFFFF" w:val="clear"/>
              </w:rPr>
              <w:t>(3)</w:t>
            </w:r>
            <w:r>
              <w:rPr/>
              <w:t xml:space="preserve"> </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197,232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28,112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bl>
    <w:tbl>
      <w:tblPr>
        <w:tblW w:w="124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46"/>
        <w:gridCol w:w="921"/>
        <w:gridCol w:w="801"/>
        <w:gridCol w:w="96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15, 2026, upon vesting of an installment of Restricted Stock Units ("RSUs") identified in Table II, which were initially granted on January 15, 2026 and generally vest in equal quarterly installments over a five-year period. On July 15, 2026, the closing price of the Class B common stock on The NASDAQ Global Select Market was $9.25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periodically pursuant to a dividend reinvestment program meeting the requirements of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Issuer to satisfy tax liability incident to the vesting of, and delivery of shares underlying, the RSUs, and were not actually sold or otherwise disposed of in an open-market transaction.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868"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3866</Characters>
  <CharactersWithSpaces>4507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