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Paramount Skydance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6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001-42791</w:t>
            </w:r>
          </w:p>
        </w:tc>
        <w:tc>
          <w:tcPr>
            <w:tcW w:w="30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99-3917985</w:t>
            </w:r>
          </w:p>
        </w:tc>
      </w:tr>
      <w:tr>
        <w:trPr>
          <w:trHeight w:val="21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56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30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w w:val="98"/>
              </w:rPr>
              <w:t>(IRS Employer Identification</w:t>
            </w:r>
          </w:p>
        </w:tc>
      </w:tr>
      <w:tr>
        <w:trPr>
          <w:trHeight w:val="238"/>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incorporation)</w:t>
            </w:r>
          </w:p>
        </w:tc>
        <w:tc>
          <w:tcPr>
            <w:tcW w:w="4560" w:type="dxa"/>
            <w:vAlign w:val="bottom"/>
          </w:tcPr>
          <w:p>
            <w:pPr>
              <w:spacing w:after="0"/>
              <w:rPr>
                <w:sz w:val="20"/>
                <w:szCs w:val="20"/>
                <w:color w:val="auto"/>
              </w:rPr>
            </w:pPr>
          </w:p>
        </w:tc>
        <w:tc>
          <w:tcPr>
            <w:tcW w:w="306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410"/>
        </w:trPr>
        <w:tc>
          <w:tcPr>
            <w:tcW w:w="2260" w:type="dxa"/>
            <w:vAlign w:val="bottom"/>
          </w:tcPr>
          <w:p>
            <w:pPr>
              <w:spacing w:after="0"/>
              <w:rPr>
                <w:sz w:val="24"/>
                <w:szCs w:val="24"/>
                <w:color w:val="auto"/>
              </w:rPr>
            </w:pPr>
          </w:p>
        </w:tc>
        <w:tc>
          <w:tcPr>
            <w:tcW w:w="4560" w:type="dxa"/>
            <w:vAlign w:val="bottom"/>
          </w:tcPr>
          <w:p>
            <w:pPr>
              <w:jc w:val="center"/>
              <w:ind w:right="2870"/>
              <w:spacing w:after="0"/>
              <w:rPr>
                <w:sz w:val="20"/>
                <w:szCs w:val="20"/>
                <w:color w:val="auto"/>
              </w:rPr>
            </w:pPr>
            <w:r>
              <w:rPr>
                <w:rFonts w:ascii="Times New Roman" w:cs="Times New Roman" w:eastAsia="Times New Roman" w:hAnsi="Times New Roman"/>
                <w:sz w:val="18"/>
                <w:szCs w:val="18"/>
                <w:b w:val="1"/>
                <w:bCs w:val="1"/>
                <w:color w:val="auto"/>
              </w:rPr>
              <w:t>1515 Broadway</w:t>
            </w:r>
          </w:p>
        </w:tc>
        <w:tc>
          <w:tcPr>
            <w:tcW w:w="306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4560" w:type="dxa"/>
            <w:vAlign w:val="bottom"/>
          </w:tcPr>
          <w:p>
            <w:pPr>
              <w:jc w:val="center"/>
              <w:ind w:right="285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0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16"/>
        </w:trPr>
        <w:tc>
          <w:tcPr>
            <w:tcW w:w="682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w:t>
            </w:r>
          </w:p>
        </w:tc>
        <w:tc>
          <w:tcPr>
            <w:tcW w:w="306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238"/>
        </w:trPr>
        <w:tc>
          <w:tcPr>
            <w:tcW w:w="2260" w:type="dxa"/>
            <w:vAlign w:val="bottom"/>
          </w:tcPr>
          <w:p>
            <w:pPr>
              <w:spacing w:after="0"/>
              <w:rPr>
                <w:sz w:val="20"/>
                <w:szCs w:val="20"/>
                <w:color w:val="auto"/>
              </w:rPr>
            </w:pPr>
          </w:p>
        </w:tc>
        <w:tc>
          <w:tcPr>
            <w:tcW w:w="4560" w:type="dxa"/>
            <w:vAlign w:val="bottom"/>
          </w:tcPr>
          <w:p>
            <w:pPr>
              <w:jc w:val="center"/>
              <w:ind w:right="2870"/>
              <w:spacing w:after="0"/>
              <w:rPr>
                <w:sz w:val="20"/>
                <w:szCs w:val="20"/>
                <w:color w:val="auto"/>
              </w:rPr>
            </w:pPr>
            <w:r>
              <w:rPr>
                <w:rFonts w:ascii="Times New Roman" w:cs="Times New Roman" w:eastAsia="Times New Roman" w:hAnsi="Times New Roman"/>
                <w:sz w:val="18"/>
                <w:szCs w:val="18"/>
                <w:b w:val="1"/>
                <w:bCs w:val="1"/>
                <w:color w:val="auto"/>
              </w:rPr>
              <w:t>offices)</w:t>
            </w:r>
          </w:p>
        </w:tc>
        <w:tc>
          <w:tcPr>
            <w:tcW w:w="30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258-6000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4520" w:type="dxa"/>
            <w:vAlign w:val="bottom"/>
            <w:gridSpan w:val="2"/>
            <w:vMerge w:val="continue"/>
          </w:tcPr>
          <w:p>
            <w:pPr>
              <w:spacing w:after="0"/>
              <w:rPr>
                <w:sz w:val="20"/>
                <w:szCs w:val="20"/>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 $0.001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PSKY</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Warner Bros. Discovery, Inc., a Delaware corporation (“WBD”), Paramount Skydance Corporation, a Delaware corporation (“PSKY”), and Prince Sub Inc., a Delaware corporation and wholly owned subsidiary of PSKY (“Merger Sub”), entered into an Agreement and Plan of Merger on February 27, 2026, pursuant to which, and subject to the terms and conditions therein, at the effective time of the Merger, Merger Sub will merge with and into WBD, with WBD surviving as a wholly owned subsidiary of PSKY (the “Merger”).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Merger, on June 9, 2026, the Australian Competition and Consumer Commission (the “ACCC”) published its decision that the Merger may be consummated, subject to expiration of a 14-calendar day waiting period. The waiting period is scheduled to expire at 10:00 a.m., Eastern Time, on June 23, 2026. In its decision, the ACCC concluded, among other items, that:</w:t>
      </w:r>
    </w:p>
    <w:p>
      <w:pPr>
        <w:spacing w:after="0" w:line="176"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Acquisition is unlikely to have the effect of substantially lessening competition in relation to the wholesale supply of films for theatrical release in Australia.”</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“[W]hile the Acquisition would remove competition between Paramount and Warner Brothers, the merged entity would continue to be constrained by other film studios post-Acquisition.”</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materials do not support the view that Paramount and Warner Brothers are particularly close competitors or that they compete more closely with each other than with the other major film studios.”</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merged entity is unlikely to have a sufficiently strong position in the supply of wholesale [audiovisual] content to enable it to successfully foreclose rivals’ access to [audiovisual] content.”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on June 5, 2026, the New Zealand Commerce Commission (the “NZCC”) informed PSKY that it does not intend to consider the Merger further. The relevant clearance regime is voluntary, and the NZCC does not give informal clearances to parties.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in recent weeks, PSKY received necessary approvals for the Merger from competition authorities in Saudi Arabia, Ukraine, Serbia and North Macedonia, and from foreign direct investment authorities in Germany, Slovenia, Belgium, Czechia, New Zealand, Italy, France and Romania.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regarding the Merger.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PSKY or WBD. Risks and uncertainties include, but are not limited to: the risk that the closing conditions for the Merger will not be satisfied, including the risk that clearances under applicable antitrust or regulatory laws will not be obtained; the possibility that the transaction will not be completed in the expected timeframe or at all; potential adverse effects to the businesses of PSKY or WBD during the pendency of the transaction, such as employee departures or distraction of management from business operations; the risk of stockholder litigation relating to the transaction, including resulting expense or delay; the potential that the expected benefits and opportunities of the Merger, if completed, may not be realized or may take longer to realize than expected; risks related to PSKY’s streaming business; the adverse impact on PSKY’s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PSKY’s decisions to invest in new businesses, products, services and technologies, and the evolution of PSKY’s business strategy; the potential for loss of carriage or other reduction in, or the impact of negotiations for, the distribution of PSKY’s content; damage to PSKY’s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PSKY’s intellectual property rights; domestic and global political, economic and regulatory factors affecting PSKY’s businesses generally; the inability to hire or retain key employees or secure creative talent; disruptions to PSKY’s operations as a result of labor disputes; risks and costs associated with the integration of, and PSKY’s ability to integrate, the businesses of Paramount Global and Skydance successfully and to achieve anticipated synergies; litigation relating to the transactions contemplated by the transaction agreement entered into on July 7, 2024, between Paramount Global and Skydance, potentially resulting in substantial costs; volatility in the price of PSKY’s Class B common stock; the effect PSKY’s dual-class capital structure and the concentrated ownership may have on the price of its Class B common stock or business; risks related to a private sale of a controlling interest in PSKY, including that PSKY’s stockholders may not realize any change of control premium on shares of PSKY’s Class B common stock and that PSKY may become subject to the control of a presently unknown third party; risks associated with PSKY’s status as a “controlled company” under Nasdaq rules, including its exemption from certain corporate governance requirements; risks associated with the lack of voting rights of PSKY’s Class B common stock; risks that anti-takeover provisions in PSKY’s amended and restated certificate of incorporation (the “Charter”) and amended and restated bylaws, and under Delaware law, could deter, delay, or prevent a change of control; risks that exclusive forum provisions in the Charter could limit a stockholder’s choice of forum for certain claims and discourage lawsuits against PSKY’s directors and officers; risks that corporate opportunity provisions in the Charter could permit certain persons to pursue competitive opportunities that might otherwise be available to PSKY; risks associated with PSKY’s holding company structure, including its dependence on distributions from its subsidiaries to meet tax obligations and other cash requirements; risks related to PSKY’s indebtedness, including PSKY’s substantial outstanding debt obligations; risks related to PSKY’s ability to incur substantially more debt and PSKY’s ability to meet the financial and other covenants contained in the agreements governing PSKY’s indebtedness; risks relating to PSKY’s ability to deleverage the business in accordance with management’s targets, including risks arising from assumptions, uncertainties and contingencies that may affect PSKY’s ability to reduce indebtedness; risks relating to management’s ability to execute on its strategic plan and improve its financial profile and cash flows from operations; and risks relating to any capital or other financing PSKY may have to raise in order to reduce its indebtedness following the Merger. A further list and description of these risks, uncertainties and other factors and the general risks associated with the respective businesses of PSKY and WBD can be found in PSKY’s Annual Report on Form 10-K for the fiscal year ended December 31, 2025, filed with the SEC on February 25, 2026, and PSKY’s Form 10-Q for the quarterly period ended March 31, 2026, filed with the SEC on May 4, 2026, including, in each case, in the sections captioned “Cautionary Note Concerning Forward-Looking Statements” and “Item 1A. Risk Factors,” and PSKY’s subsequent filings with the SEC, and WBD’s Annual Report on Form 10-K for the fiscal year ended December 31, 2025, filed with the SEC on February 27, 2026, and WBD’s Form 10-Q for the quarterly period ended March 31, 2026, filed with the SEC on May 6, 2026, including, in each case, in the sections captioned “Cautionary Note Concerning Forward-Looking Statements” and “Item 1A. Risk Factors,” and WBD’s subsequent filings with the SEC. Copies of these filings, as well as subsequent filings, are available online at www.sec.gov, ir.wbd.com or on request from PSKY or WBD. PSKY undertakes no obligation to update any forward-looking statement as a result of new information or future events or developments,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7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 /s/ Stephanie Kyoko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4056380</wp:posOffset>
            </wp:positionH>
            <wp:positionV relativeFrom="paragraph">
              <wp:posOffset>-7620</wp:posOffset>
            </wp:positionV>
            <wp:extent cx="22498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4980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Stephanie Kyoko McKinnon</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General Counsel and Secretary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2026-06-10T05:21:15Z</dcterms:created>
  <dcterms:modified xsi:type="dcterms:W3CDTF">2026-06-10T05:21:15Z</dcterms:modified>
</cp:coreProperties>
</file>