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6_25.htm"/>
      <w:bookmarkStart w:id="1" w:name="kstm2626659d6_25"/>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REMOVAL FROM LISTING AND/OR</w:t>
        <w:br/>
        <w:t>REGISTRATION UNDER SECTION 12(b)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001-42791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48"/>
        </w:rPr>
      </w:pPr>
      <w:r>
        <w:rPr>
          <w:rFonts w:ascii="Times New Roman;Times;Serif" w:hAnsi="Times New Roman;Times;Serif"/>
          <w:b/>
          <w:i w:val="false"/>
          <w:caps/>
          <w:sz w:val="48"/>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Issuer as specified in its charter, and name of Exchange where security is listed and/or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258-6000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Issuer’s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$0.001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 to designate the rule provision relied upon to strike the class of securities from listing and registration: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t>17 CFR 240.12d2-2(a)(1)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t>17 CFR 240.12d2-2(a)(2)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t>17 CFR 240.12d2-2(a)(3)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t>17 CFR 240.12d2-2(a)(4)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Pursuant to 17 CFR 240.12d2-2(b), the Exchange has complied with its rules to strike the class of securities from listing and/or withdraw registration on the Exchange.1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Paramount Skydance Corporation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51"/>
        <w:gridCol w:w="3453"/>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4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 </w:t>
            </w:r>
          </w:p>
        </w:tc>
        <w:tc>
          <w:tcPr>
            <w:tcW w:w="3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David Ellison</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45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274</Words>
  <Characters>1498</Characters>
  <CharactersWithSpaces>1776</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