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Byrne Barbara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86,389</w:t>
            </w:r>
            <w:r>
              <w:rPr>
                <w:rFonts w:ascii="Times;serif" w:hAnsi="Times;serif"/>
                <w:color w:val="008000"/>
                <w:position w:val="7"/>
                <w:sz w:val="16"/>
                <w:sz w:val="20"/>
                <w:shd w:fill="FFFFFF" w:val="clear"/>
              </w:rPr>
              <w:t>(2)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21, 2026, upon vesting of the Restricted Stock Units ("RSUs") identified in Table II, which were granted on August 7, 2025.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periodically pursuant to a dividend reinvestment program meeting the requirements of Rule 16a-11.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238"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3908</Characters>
  <CharactersWithSpaces>4553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