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1280795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1211580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104140</wp:posOffset>
            </wp:positionV>
            <wp:extent cx="20828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5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ind w:left="360"/>
        <w:spacing w:after="0" w:line="237" w:lineRule="auto"/>
        <w:rPr>
          <w:sz w:val="20"/>
          <w:szCs w:val="20"/>
          <w:color w:val="auto"/>
        </w:rPr>
      </w:pPr>
      <w:r>
        <w:rPr>
          <w:rFonts w:ascii="Wingdings" w:cs="Wingdings" w:eastAsia="Wingdings" w:hAnsi="Wingdings"/>
          <w:sz w:val="18"/>
          <w:szCs w:val="18"/>
          <w:b w:val="1"/>
          <w:bCs w:val="1"/>
          <w:color w:val="auto"/>
        </w:rPr>
        <w:t>x</w:t>
      </w:r>
    </w:p>
    <w:p>
      <w:pPr>
        <w:spacing w:after="0" w:line="12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2025</w:t>
      </w:r>
    </w:p>
    <w:p>
      <w:pPr>
        <w:spacing w:after="0" w:line="200" w:lineRule="exact"/>
        <w:rPr>
          <w:sz w:val="24"/>
          <w:szCs w:val="24"/>
          <w:color w:val="auto"/>
        </w:rPr>
      </w:pPr>
    </w:p>
    <w:p>
      <w:pPr>
        <w:spacing w:after="0" w:line="3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5" w:lineRule="exact"/>
        <w:rPr>
          <w:sz w:val="24"/>
          <w:szCs w:val="24"/>
          <w:color w:val="auto"/>
        </w:rPr>
      </w:pPr>
    </w:p>
    <w:p>
      <w:pPr>
        <w:ind w:left="3460" w:right="1479" w:hanging="3103"/>
        <w:spacing w:after="0" w:line="544" w:lineRule="auto"/>
        <w:tabs>
          <w:tab w:leader="none" w:pos="1023"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 Commission file number 001-09553</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PARAMOUNT GLOBAL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73660</wp:posOffset>
            </wp:positionV>
            <wp:extent cx="6137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204"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PARAMOUNT SKYDANCE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27940</wp:posOffset>
            </wp:positionV>
            <wp:extent cx="60521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2185" cy="17145"/>
                    </a:xfrm>
                    <a:prstGeom prst="rect">
                      <a:avLst/>
                    </a:prstGeom>
                    <a:noFill/>
                  </pic:spPr>
                </pic:pic>
              </a:graphicData>
            </a:graphic>
          </wp:anchor>
        </w:drawing>
      </w:r>
    </w:p>
    <w:p>
      <w:pPr>
        <w:spacing w:after="0" w:line="11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 of issuer of the securities held pursuant to the plan)</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1515 Broadway</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New York, New York 10036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12065</wp:posOffset>
            </wp:positionV>
            <wp:extent cx="6137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10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PARAMOUNT GLOBAL 401(k) PLAN</w:t>
      </w: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FINANCIAL STATEMENTS AND SUPPLEMENTAL SCHEDULES</w:t>
      </w:r>
    </w:p>
    <w:p>
      <w:pPr>
        <w:spacing w:after="0" w:line="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u w:val="single" w:color="auto"/>
          <w:color w:val="auto"/>
        </w:rPr>
        <w:t>INDEX</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86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18"/>
                <w:szCs w:val="18"/>
                <w:color w:val="auto"/>
              </w:rPr>
            </w:pPr>
          </w:p>
        </w:tc>
        <w:tc>
          <w:tcPr>
            <w:tcW w:w="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4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8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9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at December 31, 2025 and 2024</w:t>
            </w:r>
          </w:p>
        </w:tc>
        <w:tc>
          <w:tcPr>
            <w:tcW w:w="420" w:type="dxa"/>
            <w:vAlign w:val="bottom"/>
            <w:gridSpan w:val="4"/>
          </w:tcPr>
          <w:p>
            <w:pPr>
              <w:jc w:val="center"/>
              <w:ind w:left="23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4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278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Schedules</w:t>
            </w:r>
          </w:p>
        </w:tc>
        <w:tc>
          <w:tcPr>
            <w:tcW w:w="0" w:type="dxa"/>
            <w:vAlign w:val="bottom"/>
          </w:tcPr>
          <w:p>
            <w:pPr>
              <w:spacing w:after="0"/>
              <w:rPr>
                <w:sz w:val="1"/>
                <w:szCs w:val="1"/>
                <w:color w:val="auto"/>
              </w:rPr>
            </w:pPr>
          </w:p>
        </w:tc>
      </w:tr>
      <w:tr>
        <w:trPr>
          <w:trHeight w:val="245"/>
        </w:trPr>
        <w:tc>
          <w:tcPr>
            <w:tcW w:w="10080" w:type="dxa"/>
            <w:vAlign w:val="bottom"/>
            <w:gridSpan w:val="8"/>
            <w:vMerge w:val="continue"/>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9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4a - Schedule of Delinquent Participant Contributions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2801FF"/>
                <w:w w:val="99"/>
              </w:rPr>
              <w:t xml:space="preserve">S - </w:t>
            </w:r>
            <w:r>
              <w:rPr>
                <w:rFonts w:ascii="Times New Roman" w:cs="Times New Roman" w:eastAsia="Times New Roman" w:hAnsi="Times New Roman"/>
                <w:sz w:val="18"/>
                <w:szCs w:val="18"/>
                <w:color w:val="0000FF"/>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801FF"/>
          </w:tcPr>
          <w:p>
            <w:pPr>
              <w:spacing w:after="0" w:line="20" w:lineRule="exact"/>
              <w:rPr>
                <w:sz w:val="1"/>
                <w:szCs w:val="1"/>
                <w:color w:val="auto"/>
              </w:rPr>
            </w:pPr>
          </w:p>
        </w:tc>
        <w:tc>
          <w:tcPr>
            <w:tcW w:w="80" w:type="dxa"/>
            <w:vAlign w:val="bottom"/>
            <w:shd w:val="clear" w:color="auto" w:fill="2801FF"/>
          </w:tcPr>
          <w:p>
            <w:pPr>
              <w:spacing w:after="0" w:line="20" w:lineRule="exact"/>
              <w:rPr>
                <w:sz w:val="1"/>
                <w:szCs w:val="1"/>
                <w:color w:val="auto"/>
              </w:rPr>
            </w:pPr>
          </w:p>
        </w:tc>
        <w:tc>
          <w:tcPr>
            <w:tcW w:w="140" w:type="dxa"/>
            <w:vAlign w:val="bottom"/>
            <w:tcBorders>
              <w:left w:val="single" w:sz="8" w:color="2801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 w:type="dxa"/>
            <w:vAlign w:val="bottom"/>
          </w:tcPr>
          <w:p>
            <w:pPr>
              <w:spacing w:after="0"/>
              <w:rPr>
                <w:sz w:val="24"/>
                <w:szCs w:val="24"/>
                <w:color w:val="auto"/>
              </w:rPr>
            </w:pPr>
          </w:p>
        </w:tc>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47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2801FF"/>
                <w:w w:val="99"/>
              </w:rPr>
              <w:t xml:space="preserve">S - </w:t>
            </w:r>
            <w:r>
              <w:rPr>
                <w:rFonts w:ascii="Times New Roman" w:cs="Times New Roman" w:eastAsia="Times New Roman" w:hAnsi="Times New Roman"/>
                <w:sz w:val="18"/>
                <w:szCs w:val="18"/>
                <w:color w:val="0000FF"/>
                <w:w w:val="99"/>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2801FF"/>
          </w:tcPr>
          <w:p>
            <w:pPr>
              <w:spacing w:after="0" w:line="20" w:lineRule="exact"/>
              <w:rPr>
                <w:sz w:val="1"/>
                <w:szCs w:val="1"/>
                <w:color w:val="auto"/>
              </w:rPr>
            </w:pPr>
          </w:p>
        </w:tc>
        <w:tc>
          <w:tcPr>
            <w:tcW w:w="80" w:type="dxa"/>
            <w:vAlign w:val="bottom"/>
            <w:shd w:val="clear" w:color="auto" w:fill="2801FF"/>
          </w:tcPr>
          <w:p>
            <w:pPr>
              <w:spacing w:after="0" w:line="20" w:lineRule="exact"/>
              <w:rPr>
                <w:sz w:val="1"/>
                <w:szCs w:val="1"/>
                <w:color w:val="auto"/>
              </w:rPr>
            </w:pPr>
          </w:p>
        </w:tc>
        <w:tc>
          <w:tcPr>
            <w:tcW w:w="140" w:type="dxa"/>
            <w:vAlign w:val="bottom"/>
            <w:tcBorders>
              <w:left w:val="single" w:sz="8" w:color="2801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All other schedules required by the Department of Labor’s Rules and Regulations for Reporting and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right="4040"/>
        <w:spacing w:after="0" w:line="292" w:lineRule="auto"/>
        <w:rPr>
          <w:sz w:val="20"/>
          <w:szCs w:val="20"/>
          <w:color w:val="auto"/>
        </w:rPr>
      </w:pPr>
      <w:r>
        <w:rPr>
          <w:rFonts w:ascii="Times New Roman" w:cs="Times New Roman" w:eastAsia="Times New Roman" w:hAnsi="Times New Roman"/>
          <w:sz w:val="18"/>
          <w:szCs w:val="18"/>
          <w:color w:val="auto"/>
        </w:rPr>
        <w:t>Disclosure under the Employee Retirement Income Security Act of 1974 are omitted as not applicable or not required.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0000FF"/>
        </w:rPr>
        <w:t>23.1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790575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20" w:top="1083" w:right="639" w:bottom="1440" w:gutter="0" w:footer="0" w:header="0"/>
        </w:sectPr>
      </w:pPr>
    </w:p>
    <w:bookmarkStart w:id="2" w:name="page3"/>
    <w:bookmarkEnd w:id="2"/>
    <w:p>
      <w:pPr>
        <w:spacing w:after="0" w:line="2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Paramount Global Administrative Committee and Plan Participants of Paramount Global 401(k)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Paramount Global 401(k) Plan (the “Plan”) as of December 31, 2025, and December 31,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supplemental Schedule H, Line 4a- Delinquent Participant Contributions for the year ended December 31, 2025 and Schedule H, Line 4i- Schedule of Assets (Held at End of Year) as of December 31,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1996. We have not been able to determine the specific year we began serving as auditor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 w:name="page4"/>
    <w:bookmarkEnd w:id="3"/>
    <w:p>
      <w:pPr>
        <w:ind w:left="2780"/>
        <w:spacing w:after="0"/>
        <w:rPr>
          <w:sz w:val="20"/>
          <w:szCs w:val="20"/>
          <w:color w:val="auto"/>
        </w:rPr>
      </w:pPr>
      <w:r>
        <w:rPr>
          <w:rFonts w:ascii="Times New Roman" w:cs="Times New Roman" w:eastAsia="Times New Roman" w:hAnsi="Times New Roman"/>
          <w:sz w:val="22"/>
          <w:szCs w:val="22"/>
          <w:b w:val="1"/>
          <w:bCs w:val="1"/>
          <w:color w:val="auto"/>
        </w:rPr>
        <w:t>PARAMOUNT GLOBAL 401(k) PLAN</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800" w:type="dxa"/>
            <w:vAlign w:val="bottom"/>
            <w:tcBorders>
              <w:top w:val="single" w:sz="8" w:color="auto"/>
              <w:bottom w:val="single" w:sz="8" w:color="auto"/>
            </w:tcBorders>
          </w:tcPr>
          <w:p>
            <w:pPr>
              <w:spacing w:after="0"/>
              <w:rPr>
                <w:sz w:val="22"/>
                <w:szCs w:val="22"/>
                <w:color w:val="auto"/>
              </w:rPr>
            </w:pPr>
          </w:p>
        </w:tc>
      </w:tr>
      <w:tr>
        <w:trPr>
          <w:trHeight w:val="223"/>
        </w:trPr>
        <w:tc>
          <w:tcPr>
            <w:tcW w:w="6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6,091,456</w:t>
            </w: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5,598,012</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Synthetic guaranteed investment contracts, at contract value</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615,938</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679,811</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34,188</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37,529</w:t>
            </w:r>
          </w:p>
        </w:tc>
      </w:tr>
      <w:tr>
        <w:trPr>
          <w:trHeight w:val="229"/>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34,172</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w:t>
            </w: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dividends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2,350</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4"/>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956</w:t>
            </w: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6,779,060</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6,361,154</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2,325</w:t>
            </w: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34"/>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3,094</w:t>
            </w: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23"/>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5,419</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6,773,641</w:t>
            </w: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6,355,090</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320" w:top="1094" w:right="1339" w:bottom="1440" w:gutter="0" w:footer="0" w:header="0"/>
        </w:sectPr>
      </w:pPr>
    </w:p>
    <w:bookmarkStart w:id="4" w:name="page5"/>
    <w:bookmarkEnd w:id="4"/>
    <w:p>
      <w:pPr>
        <w:ind w:left="2760"/>
        <w:spacing w:after="0"/>
        <w:rPr>
          <w:sz w:val="20"/>
          <w:szCs w:val="20"/>
          <w:color w:val="auto"/>
        </w:rPr>
      </w:pPr>
      <w:r>
        <w:rPr>
          <w:rFonts w:ascii="Times New Roman" w:cs="Times New Roman" w:eastAsia="Times New Roman" w:hAnsi="Times New Roman"/>
          <w:sz w:val="22"/>
          <w:szCs w:val="22"/>
          <w:b w:val="1"/>
          <w:bCs w:val="1"/>
          <w:color w:val="auto"/>
        </w:rPr>
        <w:t>PARAMOUNT GLOBAL 401(k) PLAN</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0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5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18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918,012</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w:t>
            </w: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173,438</w:t>
            </w: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w:t>
            </w:r>
          </w:p>
        </w:tc>
        <w:tc>
          <w:tcPr>
            <w:tcW w:w="18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116,911</w:t>
            </w:r>
          </w:p>
        </w:tc>
      </w:tr>
      <w:tr>
        <w:trPr>
          <w:trHeight w:val="234"/>
        </w:trPr>
        <w:tc>
          <w:tcPr>
            <w:tcW w:w="5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Rollover</w:t>
            </w: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16,157</w:t>
            </w:r>
          </w:p>
        </w:tc>
      </w:tr>
      <w:tr>
        <w:trPr>
          <w:trHeight w:val="223"/>
        </w:trPr>
        <w:tc>
          <w:tcPr>
            <w:tcW w:w="55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additions</w:t>
            </w:r>
          </w:p>
        </w:tc>
        <w:tc>
          <w:tcPr>
            <w:tcW w:w="18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1,249,409</w:t>
            </w:r>
          </w:p>
        </w:tc>
      </w:tr>
      <w:tr>
        <w:trPr>
          <w:trHeight w:val="232"/>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18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2"/>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8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(827,909)</w:t>
            </w:r>
          </w:p>
        </w:tc>
      </w:tr>
      <w:tr>
        <w:trPr>
          <w:trHeight w:val="234"/>
        </w:trPr>
        <w:tc>
          <w:tcPr>
            <w:tcW w:w="5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Plan expenses</w:t>
            </w:r>
          </w:p>
        </w:tc>
        <w:tc>
          <w:tcPr>
            <w:tcW w:w="1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23"/>
        </w:trPr>
        <w:tc>
          <w:tcPr>
            <w:tcW w:w="55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deductions</w:t>
            </w:r>
          </w:p>
        </w:tc>
        <w:tc>
          <w:tcPr>
            <w:tcW w:w="18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(830,858)</w:t>
            </w:r>
          </w:p>
        </w:tc>
      </w:tr>
      <w:tr>
        <w:trPr>
          <w:trHeight w:val="21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1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418,551</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18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6,355,090</w:t>
            </w:r>
          </w:p>
        </w:tc>
      </w:tr>
      <w:tr>
        <w:trPr>
          <w:trHeight w:val="108"/>
        </w:trPr>
        <w:tc>
          <w:tcPr>
            <w:tcW w:w="55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r>
      <w:tr>
        <w:trPr>
          <w:trHeight w:val="25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end of year</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6,773,641</w:t>
            </w: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1094" w:right="1339" w:bottom="1440" w:gutter="0" w:footer="0" w:header="0"/>
        </w:sectPr>
      </w:pPr>
    </w:p>
    <w:bookmarkStart w:id="5" w:name="page6"/>
    <w:bookmarkEnd w:id="5"/>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PLAN DESCRIPTION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brief description of the Paramount Global 401(k) Plan (the “Plan”) and is provided for general information only.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 as amended, for more complete information regarding the Plan.</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sponsored by Paramount Global (the “Company”), is a defined contribution plan offered to substantially all of the Company’s U.S. based employees who are employed by the Company or any of its participating subsidiaries and affiliates and paid through a Company payroll system. On August 7, 2025, pursuant to a transaction agreement (the “Transaction Agreement”) dated as of July 7, 2024, Paramount Global and Skydance Media, LLC became wholly-owned subsidiaries of Paramount Skydance Corporation (the “Skydance Transaction”).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Eligible full-time, newly hired employees may enroll in the Plan immediately or are automatically enrolled following 60 days after hire or rehire and attainment of age 21, unless they elect not to participate. Part-time employees are automatically enrolled in the Plan on the first day of the month following the attainment of age 21 and completion of 1,000 hours of service within a consecutive twelve-month period, (or if earlier, upon satisfying the special service requirement for certain long-term part-time employees), unless they already voluntarily enrolled upon meeting the age and service requirements or have elected not to participate. The Plan is subject to the provisions of the Internal Revenue Code of 1986, as amended (the “Code”), and the Employee Retirement Income Security Act of 1974, as amended (“ERISA”). The Plan is overseen by the Paramount Global Administrative Committee (the “Administrative Committee”). The Administrative Committee has been designated as the administrator of the Plan as defined under ERISA (the “Plan Administrator”) under the Plan document.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Exempt Party-in-Interest Transactions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Prior to the Skydance Transaction, certain Plan investments were shares of Paramount Global Class A Common Stock and Paramount Global Class B Common Stock and, following the Skydance Transaction, certain Plan investments are shares of Paramount Skydance Corporation Class B Common Stock, and therefore qualified (or qualify) as party-in-interest transactions. The fair value of these investments was $57 million and $51 million at December 31, 2025 and 2024, respectively. In connection with the Skydance Transaction, the Plan’s shares of Paramount Global Class A Common Stock and Paramount Global Class B Common Stock were exchanged for shares of Paramount Skydance Corporation Class B Common Stock or cash in accordance with the Transaction Agreement and participant elections. For the year ended December 31, 2025, these investments appreciated by $15 million and earned dividends of $0.9 million. During the year ended December 31, 2025, the Plan sold shares of these investments for total proceeds of $79 million and purchased shares of these investments at a cost of $70 million. Total proceeds includes $3 million of cash received from participant elections in accordance with the Transaction Agreement, which was contributed to the stable value fund. All shares of Paramount Global Class A Common Stock and Paramount Global Class B Common Stock were delisted from Nasdaq and were cancelled and ceased to exist as of August 7, 2025.</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Fidelity Management Trust Company (the “Trustee”) is the trustee and custodian of the Plan, Fidelity Workplace Services LLC (the “Recordkeeper”) is the recordkeeper of the Plan, and State Street Global Advisors Trust Company (“State Street”) is an independent fiduciary for the Plan’s Paramount Skydance Corporation Class B stock fund. Certain Plan investments are managed or issued by the Trustee, State Street or their affiliates and therefore qualify as party-in-interest transactions. The fair value of these investments was $48 million and $53 million at December 31, 2025 and 2024, respectively. The Plan’s investments also included a synthetic guaranteed investment contract issued by State Street which expired in 2025. The contract value of this synthetic guaranteed investment contract was $60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 w:name="page7"/>
    <w:bookmarkEnd w:id="6"/>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 Accounts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Plan participant’s account is credited with the participant’s contributions, the employer contributions, if applicable, and the participant’s share of the interest, dividends, and any realized or unrealized gains or losses of the Plan’s assets, net of certain Plan expenses. Plan accounts may also be debited for certain other expenses.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have the option of investing contributions to their accounts and their existing account balances among various investment options. These investment options include common collective funds, registered investment companies (mutual funds), proprietary funds that consist of common collective funds and/or separately managed accounts, which primarily invest in common stocks, a stable value fund that consists of synthetic guaranteed investment contracts, and the Paramount Skydance Corporation Class B Stock Fund.</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Within the Plan, the Paramount Skydance Corporation Class B Stock Fund is part of an Employee Stock Ownership Plan (“ESOP”). As a result, the Plan offers an ESOP dividend election under which Plan participants can elect to reinvest any ESOP dividends paid on vested shares in the Paramount Skydance Corporation Class B Stock Fund or to receive dividends as a cash payout. If a participant does not make an election, the dividends are reinvested in the Paramount Skydance Corporation Class B Stock Fund.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may also elect to open a self-directed brokerage account (“SDA”). Participants may not contribute directly to the SDA, but may transfer balances to the SDA from other investment funds except the Stable Value Fund. A participant may transfer up to 25% of their account balance (net of loans) to the SDA. The initial transfer to the SDA may not be less than $2,500 and there is no minimum for subsequent individual transfers.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permits participants to contribute up to 50% of eligible annual compensation on a traditional before-tax, Roth 401(k) after-tax, or combination basis and up to 15% of eligible annual compensation on a traditional after-tax basis, subject to the Code limitations set forth below. Total combined contributions for all participants may not exceed 50% of eligible annual compensation. Roth 401(k) contributions and the related earnings can be withdrawn tax-free if certain requirements are met.</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provides (1) nondiscretionary employer matching contributions and (2) discretionary profit-sharing contributions. The formula for the nondiscretionary matching contributions is (a) 100% of a participant’s deferrals on the first 1% of the participant’s eligible compensation, plus (b) 80% of a participant’s deferrals on the next 5% of the participant’s eligible compensation. Any discretionary profit sharing contributions are contributed for those eligible participants who are active employees eligible for the Plan on December 31. For 2025, a discretionary profit-sharing contribution of 1.25% was made in April 2026 and is therefore included in employer contributions receivable on the Statement of Net Assets Available for Benefits.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Participants may elect to invest their contributions in any investment option, including the Paramount Skydance Corporation Class B Stock Fund. If no option is elected by the participant, the contribution is invested in the Plan’s Qualified Default Investment Alternative (“QDIA”), a common collective fund that is primarily invested in a mix of equities and bonds appropriate for the participant’s target retirement year, which is assumed to be at age 65.</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Effective on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the date upon which an employee becomes eligible to participate in the Plan, employees are deemed to have authorized the Company to make before-tax contributions to the Plan in an amount equal to 6% of the employee’s eligible compensation. However, a deemed authorization does not take effect if, during the 60-day period, the employee elects not to participate in the Plan or to participate at a different contribution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 w:name="page8"/>
    <w:bookmarkEnd w:id="7"/>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Code limits the amount of annual participant contributions that can be made on a before-tax or Roth 401(k) basis to $23,500 for 2025. Total compensation considered under the Plan, based on Code limits, could not exceed $350,000 for 2025. The Code also limits annual aggregate participant and employer contributions to the lesser of $70,000 or 100% of compensation in 2025. All contributions made to the Plan on an annual basis may be further limited due to certain nondiscrimination requirements prescribed by the Code.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participants who have attained age 50 before the close of the Plan year (calendar year) are eligible to make catch-up contributions. These contributions are not treated as matchable contributions. Catch-up contributions can be made if the eligible participant makes the maximum $23,500 contribution permitted for the Plan year. The limit for catch-up contributions was $7,500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Vesting</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Participants in the Plan are immediately vested in their own contributions and earnings thereon. The Plan includes a two-year cliff vesting schedule for employer matching contributions and profit-sharing contributions (collectively “employer contributions”).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Forfeitures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 participant’s employment terminates prior to being fully vested in their employer contributions, the non-vested portion of their account is forfeited and may be used for future employer contributions and, to the extent not used or designated for such contributions, to pay administrative expenses. Forfeitures are recorded at the time vested benefits are distributed or as of the close of the fifth consecutive year of break in service if no distribution was elected. During 2025, the Plan utilized forfeitures of approximately $0.4 million to pay administrative expenses and $3.6 million to fund employer contributions. As of December 31, 2025 and 2024, the Plan had forfeitures of approximately $5.1 million and $4.5 million, respectively, available to be used as noted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Eligible participants may request a loan for up to the lesser of 50% of the participant’s vested account balance or $50,000, reduced by the highest outstanding balance of any Plan loan made to the participant during the twelve-month period ending on the day before the loan is made. The minimum loan available to a participant is $500. The interest rate on participant loans is one percentage point above the annual prime rate in effect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on the first day of the calendar month in which the loan is processed. Principal and interest is payable through payroll deductions. Generally, only one loan may be outstanding at any time. Participants may elect repayment periods from 12 to 60 months commencing as soon as administratively possible following the distribution of the loan proceeds to the participant. The Plan allows participants to elect a repayment term of up to 300 months for loans used for the acquisition of a principal residence. Repayments of loan principal and interest are allocated in accordance with the participant’s current investment elections. Loans outstanding at December 31, 2025 carry interest rates ranging from 4.25% to 9.50%.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 and Withdrawals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Earnings on employee contributions (other than Roth contributions) and employer contributions are not subject to income tax until they are distributed or withdrawn from the Plan, although earnings on Roth contributions are taxable upon distribution if the requirements for a tax-free distribution are not met.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in the Plan, or their beneficiaries, may receive their vested account balances in a lump sum, in installments over a period of up to 20 years, or in partial distributions of the account balance in the event of retirement, termination of employment, disability or death. For vested account balances invested in the Paramount Skydance Corporation Class B Stock Fund, participants may elect to receive distributions in cash or whole shares.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 w:name="page9"/>
    <w:bookmarkEnd w:id="8"/>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general, participants must receive a required minimum distribution (“RMD”) upon attainment of a certain age, unless they are still employed. For individuals who attain age 70 ½ on or after January 1, 2020, in accordance with the Setting Every Community Up for Retirement Enhancement Act of 2019 (the “SECURE Act”), the RMD age is 72. For individuals attaining age 70 ½ on or after January 1, 2023, in accordance with the SECURE Act 2.0, the RMD age is 73.</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Participants in the Plan may withdraw part or all of their after-tax and rollover contributions and the vested portion of employer matching contributions. Upon attainment of age 59 ½, participants may also withdraw all or part of their before-tax or Roth 401(k) contributions and earnings thereon. The Plan limits participants to two of the above withdrawal elections in each Plan year.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 participant may obtain a financial hardship withdrawal of the vested portion of employer matching contributions, employer discretionary profit sharing contributions and employee before-tax or Roth 401(k) contributions provided that the requirements for hardship are met and only to the extent required to relieve such financial hardship. There is no restriction on the number of hardship withdrawals permitted.</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When a participant terminates employment with the Company, the full value of employee contributions and earnings thereon plus the value of all vested employer contributions and earnings thereon are eligible for distribution and can be rolled over to a tax qualified retirement plan or an Individual Retirement Account (“IRA”) or remain in the Plan rather than being distributed, subject to the minimum distribution requirement. If the vested account balance is $1,000 or less and the participant does not make an election to rollover the vested account balance, it will be automatically paid in a single lump sum cash payment, and taxes will be withheld from the distribution.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 Expenses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Trustee fees and fees for investment of Plan assets are charged to the Plan’s investment funds. Certain administrative expenses such as fees for accounting, investment consulting and employee communications may be paid by the Plan using forfeitures or may be paid by the Company. Recordkeeping fees are paid from participant accounts. For 2025, $0.4 million was paid to the Trustee and the Recordkeeper, parties in interest, for services provided during the year.</w:t>
      </w:r>
    </w:p>
    <w:p>
      <w:pPr>
        <w:spacing w:after="0" w:line="182" w:lineRule="exact"/>
        <w:rPr>
          <w:sz w:val="20"/>
          <w:szCs w:val="20"/>
          <w:color w:val="auto"/>
        </w:rPr>
      </w:pPr>
    </w:p>
    <w:p>
      <w:pPr>
        <w:ind w:right="5200"/>
        <w:spacing w:after="0" w:line="396" w:lineRule="auto"/>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b w:val="1"/>
          <w:bCs w:val="1"/>
          <w:i w:val="1"/>
          <w:iCs w:val="1"/>
          <w:color w:val="auto"/>
        </w:rPr>
        <w:t>Basis of Accounting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statements are prepared in conformity with accounting principles generally accepted in the United States of America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accordance with Financial Accounting Standards Board (“FASB”) guidance, investments are reported at fair value, except for fully benefit-responsive investment contracts which are reported at contract value. Contract value was determined to be the relevant measurement for the portion of net assets available for benefits attributable to fully benefit-responsive investment contracts because contract value is the amount participants would receive if they were to initiate permitted transactions under the terms of the Plan. The Statement of Changes in Net Assets Available for Benefits is prepared on a contract value basis with respect to the fully benefit-responsive investment contracts.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Valuation</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Short-term money market investments are carried at amortized cost which approximates fair value due to the short-term maturity of these investments. Investments in common stock are reported at fair value based on quoted market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prices on national security exchanges. Investments in registered investment companies are reported at fair value based on quoted market prices in active markets. The fair value of investments in separately managed accounts is determined by the Trustee based upon the fair value of the underlying securities. The fair values of investments in common collective funds (“CCTs”) are determined using the net asset value per share (“NAV”) provided by the administrator of the fund. The NAV is determined by each fund’s trustee based upon the fair value of the underlying assets owned by the fund, less liabilities, divided by the number of outstanding units. The common collective funds have no restrictions on participant redemptions. The notice period applicable to the Plan in the case of a full redemption varies by fund and ranges from one day to one month. The Plan had no unfunded commitments relating to the common collective funds at December 31, 2025 and 2024. The fair value of fixed income, asset-backed and mortgage-backed securities is determined by independent pricing sources based on quoted market prices, when available, or using valuation models which incorporate certain other observable inputs including recent trading activity for comparable securities and broker quoted prices. Cash and cash equivalents are valued at cost plus accrued interest, which approximates fair value.</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invests in fully benefit-responsive synthetic guaranteed investment contracts through the Stable Value Fund. The value of these contracts represents the aggregate amount of deposits thereto, plus interest at the contract rate, less withdrawals. As part of their investment strategy, the managers of the Stable Value Fund may use derivative financial instruments for various purposes, including managing exposure to sector risk or movements in interest rates, extending the duration of the investment portfolio and as a substitute for cash securities. The derivative instruments typically used are interest rate futures and swaps. Interest rate swaps are recorded at fair value and marked-to-market through the duration of the contract term with an offsetting increase to unrealized appreciation (depreciation). Futures are marked-to-market and settled daily. The daily receipt or payment is recognized as unrealized appreciation (depreciation) until the contract is closed at which time the total fair value of the futures contract is recognized as a realized gain (loss).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 Transactions and Income Recognition</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Purchases and sales of securities are recorded on the trade date. The average cost basis is used to determine gains or losses on security dispositions. Interest income is accrued as earned and dividend income is recorded on the ex-dividend date.</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Net appreciation or depreciation in the fair value of investments, included in the Statement of Changes in Net Assets Available for Benefits, consists of the realized gains and losses and the unrealized appreciation and depreciation on those investments presented at fair value.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Contributions from Plan participants and nondiscretionary matching contributions from the Company are recorded in the year in which the employee contributions are withheld from compensation.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Delinquent participant loans are reclassified as distributions based upon the terms of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of Benefits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 payments are recorded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 w:name="page11"/>
    <w:bookmarkEnd w:id="10"/>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the Plan to make estimates and assumptions, such as those regarding the fair value of investments, that affect the reported amounts of assets and liabilities, disclosure of contingent assets and liabilities at the date of the financial statements and the reported amounts of changes in net assets available for benefits during the reporting period. Actual results could differ from these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RISKS AND UNCERTAINTIES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provides for various investment options. Investment securities are exposed to various risks such as market, interest rate and credit risk. Market values of investments could decline for several reasons including changes in prevailing markets and interest rates, increases in defaults, and credit rating downgrades. Due to the level of risk associated with certain investment securities and the level of uncertainty related to changes in the value of such securities, it is at least reasonably possible that changes in investment values in the near term could materially affect participants’ account balances and the amounts reported in the Statements of Net Assets Available for Benefits and the related Statement of Changes in Net Assets Available for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INVESTMENTS AT CONTRACT VALUE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invests in synthetic guaranteed investment contracts, which provide for the repayment of principal plus interest through benefit-responsive wrapper contracts. A wrapper contract is issued by a third party insurance company, financial institution or bank, and is held in combination with fixed income securities to form a synthetic guaranteed investment contract. The interest crediting rate on synthetic guaranteed investment contracts reflects the yield of the associated fixed income investments, plus the amortization of realized and unrealized gains and losses on those investments, typically over the duration of the investments. Interest crediting rates are reset on a monthly or quarterly basis, and the wrapper contracts provide that adjustments to the interest crediting rate cannot result in a future interest crediting rate that is less than zero. Certain factors can influence the future interest crediting rates, including the level of market interest rates, the amount and timing of participant contributions and withdrawals, and the returns generated by the fixed income investments that are associated with the synthetic guaranteed investment contract.</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employer initiated events may limit the ability of the Plan to transact at contract value with the issuer. These events include, but are not limited to, full or partial termination of the Plan, a material adverse change to the provisions of the Plan, an employer election to withdraw from the contract to switch to a different investment provider, an employer’s bankruptcy, layoffs, plant closings, corporate spin-offs, mergers, divestitures or other workforce restructurings, or if the terms of a successor plan do not meet the contract issuer’s underwriting criteria for issuance of a replacement contract with identical terms. The Plan Administrator believes that no events are probable of occurring that may limit the ability of the Plan to transact at contract value.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contract issuer is permitted to terminate the fully benefit-responsive investment contracts with the Plan and settle at an amount different from contract value in certain events, including loss of the Plan’s qualified status, an uncured material breach of responsibility, or material adverse changes to the provisions of the Plan.</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At December 31, 2025 and 2024, the contract value of the Plan’s synthetic guaranteed investment contracts was $616 million and $680 million,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FAIR VALUE MEASUREMENTS</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tables set forth the Plan’s financial assets measured at fair value on a recurring basis at December 31, 2025 and 2024. See Note 2 for the valuation methodology used to measure the fair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There have been no changes to the methodologies used to measure the fair value of each asset from December 31, 2024 to December 31, 2025. These assets have been categorized according to the three-level fair value hierarchy established by the FASB, which prioritizes the inputs used in measuring fair value. Level 1 is based on quoted prices for the asset in active markets. Level 2 is based on inputs that are observable other than quoted market prices in Level 1, such as quoted prices for the asset in inactive markets or quoted prices for similar assets. Level 3 is based on unobservable inputs reflecting the Plan’s own assumptions about the assumptions that market participants would use in pricing the asset. The asset’s level within the fair value hierarchy is based on the lowest level of any input that is significant to the fair value measurement. Valuation techniques maximize the use of relevant observable inputs and minimize the use of unobservable inputs. The Plan has no investments classified within Level 3 of the valuation hierarchy.</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0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Self-directed accounts </w:t>
            </w:r>
            <w:r>
              <w:rPr>
                <w:rFonts w:ascii="Times New Roman" w:cs="Times New Roman" w:eastAsia="Times New Roman" w:hAnsi="Times New Roman"/>
                <w:sz w:val="23"/>
                <w:szCs w:val="23"/>
                <w:color w:val="auto"/>
                <w:vertAlign w:val="superscript"/>
              </w:rPr>
              <w:t>(a)</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77,510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88,022</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Separately managed accounts:</w:t>
            </w: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Sanders Capital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154,482</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1,619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156,101</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Wellington Management Company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155,234</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3,955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159,189</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Sustainable Growth Advisors</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152,206</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4,792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156,998</w:t>
            </w: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Dodge &amp; Cox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155,495</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156,478</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Snyder Capital Management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41,339</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42,387</w:t>
            </w:r>
          </w:p>
        </w:tc>
      </w:tr>
      <w:tr>
        <w:trPr>
          <w:trHeight w:val="229"/>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Paramount Skydance Corporation Common Stock Fund </w:t>
            </w:r>
            <w:r>
              <w:rPr>
                <w:rFonts w:ascii="Times New Roman" w:cs="Times New Roman" w:eastAsia="Times New Roman" w:hAnsi="Times New Roman"/>
                <w:sz w:val="23"/>
                <w:szCs w:val="23"/>
                <w:color w:val="auto"/>
                <w:vertAlign w:val="superscript"/>
              </w:rPr>
              <w:t>(c)</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56,513</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56,616</w:t>
            </w:r>
          </w:p>
        </w:tc>
      </w:tr>
      <w:tr>
        <w:trPr>
          <w:trHeight w:val="230"/>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Registered investment companies </w:t>
            </w:r>
            <w:r>
              <w:rPr>
                <w:rFonts w:ascii="Times New Roman" w:cs="Times New Roman" w:eastAsia="Times New Roman" w:hAnsi="Times New Roman"/>
                <w:sz w:val="23"/>
                <w:szCs w:val="23"/>
                <w:color w:val="auto"/>
                <w:vertAlign w:val="superscript"/>
              </w:rPr>
              <w:t>(d)</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199,521</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199,521</w:t>
            </w:r>
          </w:p>
        </w:tc>
      </w:tr>
      <w:tr>
        <w:trPr>
          <w:trHeight w:val="234"/>
        </w:trPr>
        <w:tc>
          <w:tcPr>
            <w:tcW w:w="5080" w:type="dxa"/>
            <w:vAlign w:val="bottom"/>
            <w:tcBorders>
              <w:bottom w:val="single" w:sz="8" w:color="auto"/>
            </w:tcBorders>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19,929</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19,929</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992,300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42,941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1,035,241</w:t>
            </w:r>
          </w:p>
        </w:tc>
      </w:tr>
      <w:tr>
        <w:trPr>
          <w:trHeight w:val="238"/>
        </w:trPr>
        <w:tc>
          <w:tcPr>
            <w:tcW w:w="508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Common collective funds measured at net asset value </w:t>
            </w:r>
            <w:r>
              <w:rPr>
                <w:rFonts w:ascii="Times New Roman" w:cs="Times New Roman" w:eastAsia="Times New Roman" w:hAnsi="Times New Roman"/>
                <w:sz w:val="23"/>
                <w:szCs w:val="23"/>
                <w:b w:val="1"/>
                <w:bCs w:val="1"/>
                <w:color w:val="auto"/>
                <w:vertAlign w:val="superscript"/>
              </w:rPr>
              <w:t>(f)</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5,056,215</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2" w:name="page13"/>
    <w:bookmarkEnd w:id="12"/>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0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Self-directed accounts </w:t>
            </w:r>
            <w:r>
              <w:rPr>
                <w:rFonts w:ascii="Times New Roman" w:cs="Times New Roman" w:eastAsia="Times New Roman" w:hAnsi="Times New Roman"/>
                <w:sz w:val="23"/>
                <w:szCs w:val="23"/>
                <w:color w:val="auto"/>
                <w:vertAlign w:val="superscript"/>
              </w:rPr>
              <w:t>(a)</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67,981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9,499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77,480</w:t>
            </w:r>
          </w:p>
        </w:tc>
      </w:tr>
      <w:tr>
        <w:trPr>
          <w:trHeight w:val="22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Separately managed accounts:</w:t>
            </w: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Sanders Capital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156,513</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157,605</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Wellington Management Company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156,091</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156,911</w:t>
            </w:r>
          </w:p>
        </w:tc>
      </w:tr>
      <w:tr>
        <w:trPr>
          <w:trHeight w:val="230"/>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Sustainable Growth Advisors</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153,465</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2,932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156,397</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Dodge &amp; Cox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161,677</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6,203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167,880</w:t>
            </w:r>
          </w:p>
        </w:tc>
      </w:tr>
      <w:tr>
        <w:trPr>
          <w:trHeight w:val="229"/>
        </w:trPr>
        <w:tc>
          <w:tcPr>
            <w:tcW w:w="5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Snyder Capital Management </w:t>
            </w:r>
            <w:r>
              <w:rPr>
                <w:rFonts w:ascii="Times New Roman" w:cs="Times New Roman" w:eastAsia="Times New Roman" w:hAnsi="Times New Roman"/>
                <w:sz w:val="23"/>
                <w:szCs w:val="23"/>
                <w:color w:val="auto"/>
                <w:vertAlign w:val="superscript"/>
              </w:rPr>
              <w:t>(b)</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46,636</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5,702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52,338</w:t>
            </w:r>
          </w:p>
        </w:tc>
      </w:tr>
      <w:tr>
        <w:trPr>
          <w:trHeight w:val="230"/>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Paramount Global Common Stock Funds </w:t>
            </w:r>
            <w:r>
              <w:rPr>
                <w:rFonts w:ascii="Times New Roman" w:cs="Times New Roman" w:eastAsia="Times New Roman" w:hAnsi="Times New Roman"/>
                <w:sz w:val="23"/>
                <w:szCs w:val="23"/>
                <w:color w:val="auto"/>
                <w:vertAlign w:val="superscript"/>
              </w:rPr>
              <w:t>(c)</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51,168</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w:t>
            </w:r>
          </w:p>
        </w:tc>
      </w:tr>
      <w:tr>
        <w:trPr>
          <w:trHeight w:val="229"/>
        </w:trPr>
        <w:tc>
          <w:tcPr>
            <w:tcW w:w="5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Registered investment companies </w:t>
            </w:r>
            <w:r>
              <w:rPr>
                <w:rFonts w:ascii="Times New Roman" w:cs="Times New Roman" w:eastAsia="Times New Roman" w:hAnsi="Times New Roman"/>
                <w:sz w:val="23"/>
                <w:szCs w:val="23"/>
                <w:color w:val="auto"/>
                <w:vertAlign w:val="superscript"/>
              </w:rPr>
              <w:t>(d)</w:t>
            </w:r>
          </w:p>
        </w:tc>
        <w:tc>
          <w:tcPr>
            <w:tcW w:w="10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146,201</w:t>
            </w:r>
          </w:p>
        </w:tc>
        <w:tc>
          <w:tcPr>
            <w:tcW w:w="3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146,201</w:t>
            </w:r>
          </w:p>
        </w:tc>
      </w:tr>
      <w:tr>
        <w:trPr>
          <w:trHeight w:val="238"/>
        </w:trPr>
        <w:tc>
          <w:tcPr>
            <w:tcW w:w="508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16,183</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16,183</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939,732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42,568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982,300</w:t>
            </w:r>
          </w:p>
        </w:tc>
      </w:tr>
      <w:tr>
        <w:trPr>
          <w:trHeight w:val="240"/>
        </w:trPr>
        <w:tc>
          <w:tcPr>
            <w:tcW w:w="508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Common collective funds measured at net asset value </w:t>
            </w:r>
            <w:r>
              <w:rPr>
                <w:rFonts w:ascii="Times New Roman" w:cs="Times New Roman" w:eastAsia="Times New Roman" w:hAnsi="Times New Roman"/>
                <w:sz w:val="23"/>
                <w:szCs w:val="23"/>
                <w:b w:val="1"/>
                <w:bCs w:val="1"/>
                <w:color w:val="auto"/>
                <w:vertAlign w:val="superscript"/>
              </w:rPr>
              <w:t>(f)</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4,615,712</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5,598,012</w:t>
            </w:r>
          </w:p>
        </w:tc>
      </w:tr>
    </w:tbl>
    <w:p>
      <w:pPr>
        <w:spacing w:after="0" w:line="126"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common stock and registered investment companies. Assets categorized as Level 2 reflect investments in money market funds.</w:t>
      </w:r>
    </w:p>
    <w:p>
      <w:pPr>
        <w:spacing w:after="0" w:line="41"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large and small capitalization equities. Assets categorized as Level 2 reflect investments in money market funds.</w:t>
      </w:r>
    </w:p>
    <w:p>
      <w:pPr>
        <w:spacing w:after="0" w:line="55"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categorized as Level 2 reflect investments in money market funds.</w:t>
      </w:r>
    </w:p>
    <w:p>
      <w:pPr>
        <w:spacing w:after="0" w:line="41"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equities and U.S. fixed income securities.</w:t>
      </w:r>
    </w:p>
    <w:p>
      <w:pPr>
        <w:spacing w:after="0" w:line="41"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invested in U.S. government securities and U.S. government agency securities.</w:t>
      </w:r>
    </w:p>
    <w:p>
      <w:pPr>
        <w:spacing w:after="0" w:line="55" w:lineRule="exact"/>
        <w:rPr>
          <w:rFonts w:ascii="Times New Roman" w:cs="Times New Roman" w:eastAsia="Times New Roman" w:hAnsi="Times New Roman"/>
          <w:sz w:val="14"/>
          <w:szCs w:val="14"/>
          <w:color w:val="auto"/>
        </w:rPr>
      </w:pPr>
    </w:p>
    <w:p>
      <w:pPr>
        <w:ind w:left="980" w:right="580" w:hanging="324"/>
        <w:spacing w:after="0" w:line="261" w:lineRule="auto"/>
        <w:tabs>
          <w:tab w:leader="none" w:pos="97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FASB guidance, investments that are measured at fair value using the net asset value per share (or its equivalent) as a practical expedient have not been classified in the fair value hierarchy. The fair value amounts presented in this table are intended to permit reconciliation of the fair value hierarchy to the line items presented in the Statement of Net Assets Available for Benefits. At December 31, 2025, 52% of the CCTs were invested passively in U.S. and international equities and U.S. fixed income securities, 44% of the CCTs were invested in passive target date funds and the remaining 4% of the CCTs were invested actively in U.S. small/mid cap and international equities. At December 31, 2024, 54% of the CCTs were invested passively in U.S. and international equities and U.S. fixed income securities,</w:t>
      </w:r>
    </w:p>
    <w:p>
      <w:pPr>
        <w:spacing w:after="0" w:line="1" w:lineRule="exact"/>
        <w:rPr>
          <w:rFonts w:ascii="Times New Roman" w:cs="Times New Roman" w:eastAsia="Times New Roman" w:hAnsi="Times New Roman"/>
          <w:sz w:val="14"/>
          <w:szCs w:val="14"/>
          <w:color w:val="auto"/>
        </w:rPr>
      </w:pP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 of the CCTs were invested in passive target date funds and the remaining 5% of the CCTs were invested actively in U.S. small/mid cap and international equities.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INCOME TAX STATUS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Internal Revenue Service (“IRS”) issued a favorable determination letter dated January 13, 2015, indicating that the Plan document satisfied the requirements of Section 401(a) of the Code and that the trust thereunder is exempt from federal income taxes under the provisions of Section 501(a) of the Code. The Plan Administrator believes that, although the Plan has been amended subsequent to the date of the IRS determination, it is designed and is currently being operated in compliance with the applicable provisions of the Code.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December 31, 2025, there are no uncertain tax positions taken or expected to be taken that require recognition of an asset or liability or disclosure in the financial statements. The Plan is subject to routine audits by taxing jurisdictions; however, there are no audits in progress for any tax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TERMINATION PRIORITIES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has reserved the right by action of the Paramount Skydance Corporation Board of Directors or Administrative Committee to amend or terminate the Plan provided that such action does not retroactively reduce earned participant benefits. In the event of termination of the Plan, participants become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3" w:name="page14"/>
    <w:bookmarkEnd w:id="13"/>
    <w:p>
      <w:pPr>
        <w:ind w:left="394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1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(Tabular dollars in thousands)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RECONCILIATION OF FINANCIAL STATEMENTS TO FORM 5500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reconciliation of net assets available for benefits per the financial statements to the Form 5500:</w:t>
      </w:r>
    </w:p>
    <w:p>
      <w:pPr>
        <w:spacing w:after="0" w:line="272" w:lineRule="exact"/>
        <w:rPr>
          <w:sz w:val="20"/>
          <w:szCs w:val="20"/>
          <w:color w:val="auto"/>
        </w:rPr>
      </w:pPr>
    </w:p>
    <w:tbl>
      <w:tblPr>
        <w:tblLayout w:type="fixed"/>
        <w:tblInd w:w="840" w:type="dxa"/>
        <w:tblCellMar>
          <w:top w:w="0" w:type="dxa"/>
          <w:left w:w="0" w:type="dxa"/>
          <w:bottom w:w="0" w:type="dxa"/>
          <w:right w:w="0" w:type="dxa"/>
        </w:tblCellMar>
      </w:tblPr>
      <w:tr>
        <w:trPr>
          <w:trHeight w:val="257"/>
        </w:trPr>
        <w:tc>
          <w:tcPr>
            <w:tcW w:w="63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40" w:type="dxa"/>
            <w:vAlign w:val="bottom"/>
            <w:tcBorders>
              <w:top w:val="single" w:sz="8" w:color="auto"/>
              <w:bottom w:val="single" w:sz="8" w:color="auto"/>
            </w:tcBorders>
          </w:tcPr>
          <w:p>
            <w:pPr>
              <w:spacing w:after="0"/>
              <w:rPr>
                <w:sz w:val="22"/>
                <w:szCs w:val="22"/>
                <w:color w:val="auto"/>
              </w:rPr>
            </w:pPr>
          </w:p>
        </w:tc>
      </w:tr>
      <w:tr>
        <w:trPr>
          <w:trHeight w:val="223"/>
        </w:trPr>
        <w:tc>
          <w:tcPr>
            <w:tcW w:w="6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6,773,641</w:t>
            </w: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6,355,090</w:t>
            </w:r>
          </w:p>
        </w:tc>
      </w:tr>
      <w:tr>
        <w:trPr>
          <w:trHeight w:val="234"/>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(1,717)</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6,771,924</w:t>
            </w: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6,353,425</w:t>
            </w:r>
          </w:p>
        </w:tc>
      </w:tr>
    </w:tbl>
    <w:p>
      <w:pPr>
        <w:spacing w:after="0" w:line="207"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following is a reconciliation of the net increase in net assets available for benefits as reflected in the financial statements to the Form 5500:</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66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6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financial statements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418,551</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 at December 31, 2025</w:t>
            </w:r>
          </w:p>
        </w:tc>
        <w:tc>
          <w:tcPr>
            <w:tcW w:w="1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3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Participant loans deemed distributed at December 31, 2024</w:t>
            </w:r>
          </w:p>
        </w:tc>
        <w:tc>
          <w:tcPr>
            <w:tcW w:w="1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30"/>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per the Form 5500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418,499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SUBSEQUENT EVENTS</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Subsequent events and transactions have been evaluated through the date the financial statements were issued, and are incorporated herein as applicable.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6" w:right="399" w:bottom="1440" w:gutter="0" w:footer="0" w:header="0"/>
        </w:sectPr>
      </w:pPr>
    </w:p>
    <w:bookmarkStart w:id="14" w:name="page15"/>
    <w:bookmarkEnd w:id="14"/>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SCHEDULE H, line 4a</w:t>
      </w:r>
    </w:p>
    <w:p>
      <w:pPr>
        <w:spacing w:after="0" w:line="25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PARAMOUNT GLOBAL 401(k) PLAN</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SCHEDULE OF DELINQUENT PARTICIPANT CONTRIBUTIONS</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As of and for the year ended December 31, 2025</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Participant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Total Fully Corrected</w:t>
            </w:r>
          </w:p>
        </w:tc>
        <w:tc>
          <w:tcPr>
            <w:tcW w:w="0" w:type="dxa"/>
            <w:vAlign w:val="bottom"/>
          </w:tcPr>
          <w:p>
            <w:pPr>
              <w:spacing w:after="0"/>
              <w:rPr>
                <w:sz w:val="1"/>
                <w:szCs w:val="1"/>
                <w:color w:val="auto"/>
              </w:rPr>
            </w:pPr>
          </w:p>
        </w:tc>
      </w:tr>
      <w:tr>
        <w:trPr>
          <w:trHeight w:val="162"/>
        </w:trPr>
        <w:tc>
          <w:tcPr>
            <w:tcW w:w="196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Total That Constitute Nonexempt Prohibited Transactions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Transferred late to Plan</w:t>
            </w: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gridSpan w:val="6"/>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Under Voluntary</w:t>
            </w:r>
          </w:p>
        </w:tc>
        <w:tc>
          <w:tcPr>
            <w:tcW w:w="0" w:type="dxa"/>
            <w:vAlign w:val="bottom"/>
          </w:tcPr>
          <w:p>
            <w:pPr>
              <w:spacing w:after="0"/>
              <w:rPr>
                <w:sz w:val="1"/>
                <w:szCs w:val="1"/>
                <w:color w:val="auto"/>
              </w:rPr>
            </w:pPr>
          </w:p>
        </w:tc>
      </w:tr>
      <w:tr>
        <w:trPr>
          <w:trHeight w:val="159"/>
        </w:trPr>
        <w:tc>
          <w:tcPr>
            <w:tcW w:w="1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Check Here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center"/>
              <w:ind w:right="59"/>
              <w:spacing w:after="0" w:line="159" w:lineRule="exact"/>
              <w:rPr>
                <w:sz w:val="20"/>
                <w:szCs w:val="20"/>
                <w:color w:val="auto"/>
              </w:rPr>
            </w:pPr>
            <w:r>
              <w:rPr>
                <w:rFonts w:ascii="Times New Roman" w:cs="Times New Roman" w:eastAsia="Times New Roman" w:hAnsi="Times New Roman"/>
                <w:sz w:val="16"/>
                <w:szCs w:val="16"/>
                <w:b w:val="1"/>
                <w:bCs w:val="1"/>
                <w:color w:val="auto"/>
              </w:rPr>
              <w:t>Fiduciary Correction</w:t>
            </w: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If Late Participant Loan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Program (VFCP) and</w:t>
            </w: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Repayments Are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1960" w:type="dxa"/>
            <w:vAlign w:val="bottom"/>
          </w:tcPr>
          <w:p>
            <w:pPr>
              <w:jc w:val="center"/>
              <w:ind w:left="159"/>
              <w:spacing w:after="0" w:line="166" w:lineRule="exact"/>
              <w:rPr>
                <w:sz w:val="20"/>
                <w:szCs w:val="20"/>
                <w:color w:val="auto"/>
              </w:rPr>
            </w:pPr>
            <w:r>
              <w:rPr>
                <w:rFonts w:ascii="Times New Roman" w:cs="Times New Roman" w:eastAsia="Times New Roman" w:hAnsi="Times New Roman"/>
                <w:sz w:val="16"/>
                <w:szCs w:val="16"/>
                <w:b w:val="1"/>
                <w:bCs w:val="1"/>
                <w:color w:val="auto"/>
              </w:rPr>
              <w:t>Contributions Corrected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jc w:val="center"/>
              <w:ind w:left="99"/>
              <w:spacing w:after="0" w:line="166" w:lineRule="exact"/>
              <w:rPr>
                <w:sz w:val="20"/>
                <w:szCs w:val="20"/>
                <w:color w:val="auto"/>
              </w:rPr>
            </w:pPr>
            <w:r>
              <w:rPr>
                <w:rFonts w:ascii="Times New Roman" w:cs="Times New Roman" w:eastAsia="Times New Roman" w:hAnsi="Times New Roman"/>
                <w:sz w:val="16"/>
                <w:szCs w:val="16"/>
                <w:b w:val="1"/>
                <w:bCs w:val="1"/>
                <w:color w:val="auto"/>
              </w:rPr>
              <w:t>Contributions Pending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59"/>
              <w:spacing w:after="0" w:line="166" w:lineRule="exact"/>
              <w:rPr>
                <w:sz w:val="20"/>
                <w:szCs w:val="20"/>
                <w:color w:val="auto"/>
              </w:rPr>
            </w:pPr>
            <w:r>
              <w:rPr>
                <w:rFonts w:ascii="Times New Roman" w:cs="Times New Roman" w:eastAsia="Times New Roman" w:hAnsi="Times New Roman"/>
                <w:sz w:val="16"/>
                <w:szCs w:val="16"/>
                <w:b w:val="1"/>
                <w:bCs w:val="1"/>
                <w:color w:val="auto"/>
              </w:rPr>
              <w:t>Prohibited Transaction</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Included </w:t>
            </w:r>
            <w:r>
              <w:rPr>
                <w:rFonts w:ascii="MS PGothic" w:cs="MS PGothic" w:eastAsia="MS PGothic" w:hAnsi="MS PGothic"/>
                <w:sz w:val="16"/>
                <w:szCs w:val="16"/>
                <w:color w:val="auto"/>
                <w:highlight w:val="black"/>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 Corrected</w:t>
            </w:r>
          </w:p>
        </w:tc>
        <w:tc>
          <w:tcPr>
            <w:tcW w:w="19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Outside VFCP</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Correction in VFCP</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Exemption 2002-51</w:t>
            </w:r>
          </w:p>
        </w:tc>
        <w:tc>
          <w:tcPr>
            <w:tcW w:w="0" w:type="dxa"/>
            <w:vAlign w:val="bottom"/>
          </w:tcPr>
          <w:p>
            <w:pPr>
              <w:spacing w:after="0"/>
              <w:rPr>
                <w:sz w:val="1"/>
                <w:szCs w:val="1"/>
                <w:color w:val="auto"/>
              </w:rPr>
            </w:pPr>
          </w:p>
        </w:tc>
      </w:tr>
      <w:tr>
        <w:trPr>
          <w:trHeight w:val="204"/>
        </w:trPr>
        <w:tc>
          <w:tcPr>
            <w:tcW w:w="1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960" w:type="dxa"/>
            <w:vAlign w:val="bottom"/>
            <w:tcBorders>
              <w:top w:val="single" w:sz="8" w:color="auto"/>
            </w:tcBorders>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40" w:type="dxa"/>
            <w:vAlign w:val="bottom"/>
            <w:tcBorders>
              <w:top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15" w:name="page16"/>
    <w:bookmarkEnd w:id="15"/>
    <w:p>
      <w:pPr>
        <w:spacing w:after="0" w:line="222" w:lineRule="exact"/>
        <w:rPr>
          <w:sz w:val="20"/>
          <w:szCs w:val="20"/>
          <w:color w:val="auto"/>
        </w:rPr>
      </w:pPr>
    </w:p>
    <w:tbl>
      <w:tblPr>
        <w:tblLayout w:type="fixed"/>
        <w:tblInd w:w="53"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80" w:type="dxa"/>
            <w:vAlign w:val="bottom"/>
            <w:gridSpan w:val="4"/>
          </w:tcPr>
          <w:p>
            <w:pPr>
              <w:jc w:val="center"/>
              <w:ind w:right="428"/>
              <w:spacing w:after="0"/>
              <w:rPr>
                <w:sz w:val="20"/>
                <w:szCs w:val="20"/>
                <w:color w:val="auto"/>
              </w:rPr>
            </w:pPr>
            <w:r>
              <w:rPr>
                <w:rFonts w:ascii="Times New Roman" w:cs="Times New Roman" w:eastAsia="Times New Roman" w:hAnsi="Times New Roman"/>
                <w:sz w:val="16"/>
                <w:szCs w:val="16"/>
                <w:b w:val="1"/>
                <w:bCs w:val="1"/>
                <w:color w:val="auto"/>
              </w:rPr>
              <w:t>PARAMOUNT GLOBAL 401(k) PLAN</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80" w:type="dxa"/>
            <w:vAlign w:val="bottom"/>
            <w:gridSpan w:val="4"/>
          </w:tcPr>
          <w:p>
            <w:pPr>
              <w:jc w:val="center"/>
              <w:ind w:right="428"/>
              <w:spacing w:after="0"/>
              <w:rPr>
                <w:sz w:val="20"/>
                <w:szCs w:val="20"/>
                <w:color w:val="auto"/>
              </w:rPr>
            </w:pPr>
            <w:r>
              <w:rPr>
                <w:rFonts w:ascii="Times New Roman" w:cs="Times New Roman" w:eastAsia="Times New Roman" w:hAnsi="Times New Roman"/>
                <w:sz w:val="16"/>
                <w:szCs w:val="16"/>
                <w:b w:val="1"/>
                <w:bCs w:val="1"/>
                <w:color w:val="auto"/>
              </w:rPr>
              <w:t>SCHEDULE OF ASSETS (HELD AT END OF YEAR)</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40" w:type="dxa"/>
            <w:vAlign w:val="bottom"/>
            <w:gridSpan w:val="3"/>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3"/>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investment including</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Identity of issue, borrower, lessor or similar party</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 date, rate of interest, collateral,</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vMerge w:val="continue"/>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 or maturity value</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gridSpan w:val="7"/>
          </w:tcPr>
          <w:p>
            <w:pPr>
              <w:spacing w:after="0" w:line="147" w:lineRule="exact"/>
              <w:rPr>
                <w:sz w:val="20"/>
                <w:szCs w:val="20"/>
                <w:color w:val="auto"/>
              </w:rPr>
            </w:pPr>
            <w:r>
              <w:rPr>
                <w:rFonts w:ascii="Times New Roman" w:cs="Times New Roman" w:eastAsia="Times New Roman" w:hAnsi="Times New Roman"/>
                <w:sz w:val="14"/>
                <w:szCs w:val="14"/>
                <w:color w:val="auto"/>
              </w:rPr>
              <w:t xml:space="preserve">Self-Directed Accounts </w:t>
            </w:r>
            <w:r>
              <w:rPr>
                <w:rFonts w:ascii="Times New Roman" w:cs="Times New Roman" w:eastAsia="Times New Roman" w:hAnsi="Times New Roman"/>
                <w:sz w:val="9"/>
                <w:szCs w:val="9"/>
                <w:color w:val="auto"/>
              </w:rPr>
              <w:t>(1)</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Corporate Common Stock Funds</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Paramount Skydance Corporation Class B Stock Fund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4,233,283 Shares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Fidelity Institutional Money Market Government Portfolio</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Corporate Common Stock Funds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Registered Investment Companies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Vanguard FTSE Social Index Fund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Passively Managed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Baird Core Plus Bond Inst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Actively Managed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Fidelity Institutional Money Market Government Portfolio</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Registered Investment Companies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 Collective Funds</w:t>
            </w:r>
          </w:p>
        </w:tc>
        <w:tc>
          <w:tcPr>
            <w:tcW w:w="2620" w:type="dxa"/>
            <w:vAlign w:val="bottom"/>
            <w:gridSpan w:val="5"/>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S&amp;P 500 Index Fund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Passively Managed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Extended Equity Market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Passively Managed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 US Bond Index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Passively Managed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Vanguard Institutional Total International Stock Market Index Trust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Passively Managed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Retirement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2030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2035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2040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2045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2050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2055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2060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BlackRock LifePath 2065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Retirement Date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Wasatch Core Growth CIT Class A</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 Cap US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Cramer Rosenthal McGlynn Small /Mid Cap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 Cap US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Mawer International Equity Collective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GQG Partners International Equity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INVESCO International Growth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Pzena International Value All Country (Ex US)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 Equity Fund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Common Collective Funds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Separately Managed Accounts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 xml:space="preserve">Sanders Capital </w:t>
            </w:r>
            <w:r>
              <w:rPr>
                <w:rFonts w:ascii="Times New Roman" w:cs="Times New Roman" w:eastAsia="Times New Roman" w:hAnsi="Times New Roman"/>
                <w:sz w:val="9"/>
                <w:szCs w:val="9"/>
                <w:color w:val="auto"/>
              </w:rPr>
              <w:t>(2)</w:t>
            </w:r>
          </w:p>
        </w:tc>
        <w:tc>
          <w:tcPr>
            <w:tcW w:w="2500" w:type="dxa"/>
            <w:vAlign w:val="bottom"/>
            <w:gridSpan w:val="4"/>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Cap US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 xml:space="preserve">Wellington Management Company </w:t>
            </w:r>
            <w:r>
              <w:rPr>
                <w:rFonts w:ascii="Times New Roman" w:cs="Times New Roman" w:eastAsia="Times New Roman" w:hAnsi="Times New Roman"/>
                <w:sz w:val="9"/>
                <w:szCs w:val="9"/>
                <w:color w:val="auto"/>
              </w:rPr>
              <w:t>(2)</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Cap US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 xml:space="preserve">Sustainable Growth Advisors </w:t>
            </w:r>
            <w:r>
              <w:rPr>
                <w:rFonts w:ascii="Times New Roman" w:cs="Times New Roman" w:eastAsia="Times New Roman" w:hAnsi="Times New Roman"/>
                <w:sz w:val="9"/>
                <w:szCs w:val="9"/>
                <w:color w:val="auto"/>
              </w:rPr>
              <w:t>(2)</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Cap US Equity Fund</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 xml:space="preserve">Dodge &amp; Cox </w:t>
            </w:r>
            <w:r>
              <w:rPr>
                <w:rFonts w:ascii="Times New Roman" w:cs="Times New Roman" w:eastAsia="Times New Roman" w:hAnsi="Times New Roman"/>
                <w:sz w:val="9"/>
                <w:szCs w:val="9"/>
                <w:color w:val="auto"/>
              </w:rPr>
              <w:t>(1) (2)</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Cap US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 xml:space="preserve">Snyder Capital Management </w:t>
            </w:r>
            <w:r>
              <w:rPr>
                <w:rFonts w:ascii="Times New Roman" w:cs="Times New Roman" w:eastAsia="Times New Roman" w:hAnsi="Times New Roman"/>
                <w:sz w:val="9"/>
                <w:szCs w:val="9"/>
                <w:color w:val="auto"/>
              </w:rPr>
              <w:t>(2)</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 Cap US Equity Fund</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424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State Street Bank Government STIF Fund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 Term Investment Fund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Separately Managed Accounts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Synthetic Guaranteed Investment Contracts</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Voya: 60548</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Evergreen &amp; Rate of Interest 3.11%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Lincoln National Life Insurance Company: BVW0024G</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Evergreen &amp; Rate of Interest 2.67%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Prudential Insurance Company of America: GA-64465</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Evergreen &amp; Rate of Interest 2.91%</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Met Tower Life: 39871</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Evergreen &amp; Rate of Interest 2.70%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Synthetic Guaranteed Investment Contracts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 xml:space="preserve">*  Notes receivable from participants </w:t>
            </w:r>
            <w:r>
              <w:rPr>
                <w:rFonts w:ascii="Times New Roman" w:cs="Times New Roman" w:eastAsia="Times New Roman" w:hAnsi="Times New Roman"/>
                <w:sz w:val="9"/>
                <w:szCs w:val="9"/>
                <w:color w:val="auto"/>
              </w:rPr>
              <w:t>(3)</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rates ranging from 4.25% to 9.50%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93"/>
        <w:spacing w:after="0"/>
        <w:rPr>
          <w:sz w:val="20"/>
          <w:szCs w:val="20"/>
          <w:color w:val="auto"/>
        </w:rPr>
      </w:pPr>
      <w:r>
        <w:rPr>
          <w:rFonts w:ascii="Times New Roman" w:cs="Times New Roman" w:eastAsia="Times New Roman" w:hAnsi="Times New Roman"/>
          <w:sz w:val="14"/>
          <w:szCs w:val="14"/>
          <w:b w:val="1"/>
          <w:bCs w:val="1"/>
          <w:color w:val="auto"/>
        </w:rPr>
        <w:t>Total investments and notes receivable from participants</w:t>
      </w:r>
    </w:p>
    <w:p>
      <w:pPr>
        <w:spacing w:after="0" w:line="152" w:lineRule="exact"/>
        <w:rPr>
          <w:sz w:val="20"/>
          <w:szCs w:val="20"/>
          <w:color w:val="auto"/>
        </w:rPr>
      </w:pPr>
    </w:p>
    <w:p>
      <w:pPr>
        <w:ind w:left="293" w:hanging="245"/>
        <w:spacing w:after="0"/>
        <w:tabs>
          <w:tab w:leader="none" w:pos="29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as a party-in-interest to the Plan.</w:t>
      </w:r>
    </w:p>
    <w:p>
      <w:pPr>
        <w:spacing w:after="0" w:line="42" w:lineRule="exact"/>
        <w:rPr>
          <w:sz w:val="20"/>
          <w:szCs w:val="20"/>
          <w:color w:val="auto"/>
        </w:rPr>
      </w:pPr>
    </w:p>
    <w:p>
      <w:pPr>
        <w:ind w:left="293" w:hanging="293"/>
        <w:spacing w:after="0"/>
        <w:tabs>
          <w:tab w:leader="none" w:pos="29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 million of investments identified as party-in-interest transactions to the Plan.</w:t>
      </w:r>
    </w:p>
    <w:p>
      <w:pPr>
        <w:spacing w:after="0" w:line="41" w:lineRule="exact"/>
        <w:rPr>
          <w:rFonts w:ascii="Times New Roman" w:cs="Times New Roman" w:eastAsia="Times New Roman" w:hAnsi="Times New Roman"/>
          <w:sz w:val="14"/>
          <w:szCs w:val="14"/>
          <w:color w:val="auto"/>
        </w:rPr>
      </w:pPr>
    </w:p>
    <w:p>
      <w:pPr>
        <w:ind w:left="293" w:hanging="293"/>
        <w:spacing w:after="0"/>
        <w:tabs>
          <w:tab w:leader="none" w:pos="29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Attachment A for listing of assets relating to these accounts.</w:t>
      </w:r>
    </w:p>
    <w:p>
      <w:pPr>
        <w:spacing w:after="0" w:line="41" w:lineRule="exact"/>
        <w:rPr>
          <w:rFonts w:ascii="Times New Roman" w:cs="Times New Roman" w:eastAsia="Times New Roman" w:hAnsi="Times New Roman"/>
          <w:sz w:val="14"/>
          <w:szCs w:val="14"/>
          <w:color w:val="auto"/>
        </w:rPr>
      </w:pPr>
    </w:p>
    <w:p>
      <w:pPr>
        <w:ind w:left="293" w:hanging="293"/>
        <w:spacing w:after="0"/>
        <w:tabs>
          <w:tab w:leader="none" w:pos="29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participant loans deemed distributed.</w:t>
      </w:r>
    </w:p>
    <w:p>
      <w:pPr>
        <w:spacing w:after="0" w:line="41" w:lineRule="exact"/>
        <w:rPr>
          <w:rFonts w:ascii="Times New Roman" w:cs="Times New Roman" w:eastAsia="Times New Roman" w:hAnsi="Times New Roman"/>
          <w:sz w:val="14"/>
          <w:szCs w:val="14"/>
          <w:color w:val="auto"/>
        </w:rPr>
      </w:pPr>
    </w:p>
    <w:p>
      <w:pPr>
        <w:ind w:left="293" w:hanging="293"/>
        <w:spacing w:after="0"/>
        <w:tabs>
          <w:tab w:leader="none" w:pos="29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non-participant directed investments.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SCHEDULE H, line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9"/>
          <w:szCs w:val="9"/>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33655</wp:posOffset>
            </wp:positionV>
            <wp:extent cx="1397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7" w:lineRule="exact"/>
        <w:rPr>
          <w:sz w:val="20"/>
          <w:szCs w:val="20"/>
          <w:color w:val="auto"/>
        </w:rPr>
      </w:pPr>
    </w:p>
    <w:p>
      <w:pPr>
        <w:ind w:left="1600" w:hanging="873"/>
        <w:spacing w:after="0"/>
        <w:tabs>
          <w:tab w:leader="none" w:pos="1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88,022</w:t>
      </w:r>
    </w:p>
    <w:p>
      <w:pPr>
        <w:spacing w:after="0" w:line="298" w:lineRule="exact"/>
        <w:rPr>
          <w:rFonts w:ascii="Times New Roman" w:cs="Times New Roman" w:eastAsia="Times New Roman" w:hAnsi="Times New Roman"/>
          <w:sz w:val="14"/>
          <w:szCs w:val="14"/>
          <w:color w:val="auto"/>
        </w:rPr>
      </w:pPr>
    </w:p>
    <w:p>
      <w:pPr>
        <w:ind w:left="1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56,513</w:t>
      </w:r>
    </w:p>
    <w:p>
      <w:pPr>
        <w:spacing w:after="0" w:line="41"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w:t>
      </w:r>
    </w:p>
    <w:p>
      <w:pPr>
        <w:spacing w:after="0" w:line="55" w:lineRule="exact"/>
        <w:rPr>
          <w:rFonts w:ascii="Times New Roman" w:cs="Times New Roman" w:eastAsia="Times New Roman" w:hAnsi="Times New Roman"/>
          <w:sz w:val="14"/>
          <w:szCs w:val="14"/>
          <w:color w:val="auto"/>
        </w:rPr>
      </w:pPr>
    </w:p>
    <w:p>
      <w:pPr>
        <w:ind w:left="1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-104140</wp:posOffset>
            </wp:positionV>
            <wp:extent cx="8572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7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145,513</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54,008</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32385</wp:posOffset>
            </wp:positionV>
            <wp:extent cx="8572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219,450</w:t>
      </w:r>
    </w:p>
    <w:p>
      <w:pPr>
        <w:spacing w:after="0" w:line="29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1,613,758</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326,968</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332,241</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374,530</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203,600</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165,424</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245,155</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360,645</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378,793</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395,053</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274,675</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141,749</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32,445</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48,960</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30,461</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32,956</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32,896</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32,974</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32385</wp:posOffset>
            </wp:positionV>
            <wp:extent cx="8572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5,056,215</w:t>
      </w:r>
    </w:p>
    <w:p>
      <w:pPr>
        <w:spacing w:after="0" w:line="29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154,482</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155,234</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152,206</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155,495</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41,339</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12,397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32385</wp:posOffset>
            </wp:positionV>
            <wp:extent cx="8572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671,153</w:t>
      </w:r>
    </w:p>
    <w:p>
      <w:pPr>
        <w:spacing w:after="0" w:line="29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53,773</w:t>
      </w:r>
    </w:p>
    <w:p>
      <w:pPr>
        <w:spacing w:after="0" w:line="4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180,954</w:t>
      </w:r>
    </w:p>
    <w:p>
      <w:pPr>
        <w:spacing w:after="0" w:line="17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155,266</w:t>
      </w:r>
    </w:p>
    <w:p>
      <w:pPr>
        <w:spacing w:after="0" w:line="4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225,945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32385</wp:posOffset>
            </wp:positionV>
            <wp:extent cx="8572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615,938</w:t>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32,471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32385</wp:posOffset>
            </wp:positionV>
            <wp:extent cx="8572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76" w:lineRule="exact"/>
        <w:rPr>
          <w:sz w:val="20"/>
          <w:szCs w:val="20"/>
          <w:color w:val="auto"/>
        </w:rPr>
      </w:pPr>
    </w:p>
    <w:p>
      <w:pPr>
        <w:ind w:left="1420" w:hanging="693"/>
        <w:spacing w:after="0"/>
        <w:tabs>
          <w:tab w:leader="none" w:pos="1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6,739,865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32385</wp:posOffset>
            </wp:positionV>
            <wp:extent cx="8572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1288" w:lineRule="exact"/>
        <w:rPr>
          <w:sz w:val="20"/>
          <w:szCs w:val="20"/>
          <w:color w:val="auto"/>
        </w:rPr>
      </w:pPr>
    </w:p>
    <w:p>
      <w:pPr>
        <w:sectPr>
          <w:pgSz w:w="11900" w:h="16838" w:orient="portrait"/>
          <w:cols w:equalWidth="0" w:num="2">
            <w:col w:w="8573" w:space="340"/>
            <w:col w:w="2140"/>
          </w:cols>
          <w:pgMar w:left="507" w:top="603" w:right="339" w:bottom="1440" w:gutter="0" w:footer="0" w:header="0"/>
        </w:sectPr>
      </w:pPr>
    </w:p>
    <w:p>
      <w:pPr>
        <w:jc w:val="center"/>
        <w:ind w:right="167"/>
        <w:spacing w:after="0"/>
        <w:rPr>
          <w:sz w:val="20"/>
          <w:szCs w:val="20"/>
          <w:color w:val="auto"/>
        </w:rPr>
      </w:pPr>
      <w:r>
        <w:rPr>
          <w:rFonts w:ascii="Times New Roman" w:cs="Times New Roman" w:eastAsia="Times New Roman" w:hAnsi="Times New Roman"/>
          <w:sz w:val="17"/>
          <w:szCs w:val="17"/>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234950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3"/>
          </w:cols>
          <w:pgMar w:left="507" w:top="60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 w:type="dxa"/>
            <w:vAlign w:val="bottom"/>
          </w:tcPr>
          <w:p>
            <w:pPr>
              <w:spacing w:after="0"/>
              <w:rPr>
                <w:sz w:val="15"/>
                <w:szCs w:val="15"/>
                <w:color w:val="auto"/>
              </w:rPr>
            </w:pP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38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540" w:type="dxa"/>
            <w:vAlign w:val="bottom"/>
            <w:tcBorders>
              <w:bottom w:val="single" w:sz="8" w:color="auto"/>
            </w:tcBorders>
            <w:gridSpan w:val="2"/>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11,399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9,016</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AMERICAN EXPRESS CO</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773</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ANALOG DEVICES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958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APPLE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15,569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ARISTA NETWORKS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1,672</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ARM HOLDINGS LTD</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AXON ENTERPRISE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1,328</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BROADCOM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8,771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CADENCE DESIGN SYSTEMS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1,224</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CORPAY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468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DOORDASH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1,921</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4,808</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FASTENAL CO</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1,245</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FIGMA INC-CL 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393</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 VERNOVA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 AEROSPACE</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2,727</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1,170</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HILTON WORLDWIDE HOLDINGS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1,351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HOME DEPOT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1,469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HUBSPOT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800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IDEXX LABS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INTUIT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978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INTUITIVE SURGICAL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1,548</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KKR &amp; CO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1,512</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ELI LILLY &amp; CO</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6,438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MSCI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710</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MASTERCARD INC CL 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4,449</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17,512</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MONOLITHIC POWER SYS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751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NASDAQ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1,160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NATERA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927</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NETFLIX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2,660</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NVIDIA CORP</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21,568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PALANTIR TECHNOLOGIES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S&amp;P GLOBAL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1,178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SERVICENOW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STRYKER CORP</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2,235</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TJX COMPANIES INC NEW</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885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TAIWAN SEMIC MFG CO LTD SP ADR</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1,649</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TESLA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3,871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THERMO FISHER SCIENTIFIC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1,151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TRADEWEB MARKETS INC 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1,166</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TRANSUNION</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1,081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UBER TECHNOLOGIES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1,489</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UNITY SOFTWARE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1,015</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1,112</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WELLTOWER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2,458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ASML HLDG NV (NY REG SHS) NEW YORK REGISTERED SHAR</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1,670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SPOTIFY TECHNOLOGY SA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1,001</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SHOPIFY INC CL A</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1,035</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WASTE CONNECTIONS INC</w:t>
            </w:r>
          </w:p>
        </w:tc>
        <w:tc>
          <w:tcPr>
            <w:tcW w:w="38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1,849</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PAYABLES</w:t>
            </w:r>
          </w:p>
        </w:tc>
        <w:tc>
          <w:tcPr>
            <w:tcW w:w="3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800" w:type="dxa"/>
            <w:vAlign w:val="bottom"/>
          </w:tcPr>
          <w:p>
            <w:pPr>
              <w:ind w:left="1080"/>
              <w:spacing w:after="0" w:line="135" w:lineRule="exact"/>
              <w:rPr>
                <w:sz w:val="20"/>
                <w:szCs w:val="20"/>
                <w:color w:val="auto"/>
              </w:rPr>
            </w:pPr>
            <w:r>
              <w:rPr>
                <w:rFonts w:ascii="Times New Roman" w:cs="Times New Roman" w:eastAsia="Times New Roman" w:hAnsi="Times New Roman"/>
                <w:sz w:val="13"/>
                <w:szCs w:val="13"/>
                <w:b w:val="1"/>
                <w:bCs w:val="1"/>
                <w:color w:val="auto"/>
              </w:rPr>
              <w:t>WELLINGTON MANAGEMENT CO</w:t>
            </w:r>
          </w:p>
        </w:tc>
        <w:tc>
          <w:tcPr>
            <w:tcW w:w="1280" w:type="dxa"/>
            <w:vAlign w:val="bottom"/>
          </w:tcPr>
          <w:p>
            <w:pPr>
              <w:spacing w:after="0"/>
              <w:rPr>
                <w:sz w:val="11"/>
                <w:szCs w:val="11"/>
                <w:color w:val="auto"/>
              </w:rPr>
            </w:pPr>
          </w:p>
        </w:tc>
        <w:tc>
          <w:tcPr>
            <w:tcW w:w="2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ind w:right="1"/>
              <w:spacing w:after="0" w:line="135" w:lineRule="exact"/>
              <w:rPr>
                <w:sz w:val="20"/>
                <w:szCs w:val="20"/>
                <w:color w:val="auto"/>
              </w:rPr>
            </w:pPr>
            <w:r>
              <w:rPr>
                <w:rFonts w:ascii="Times New Roman" w:cs="Times New Roman" w:eastAsia="Times New Roman" w:hAnsi="Times New Roman"/>
                <w:sz w:val="13"/>
                <w:szCs w:val="13"/>
                <w:color w:val="auto"/>
              </w:rPr>
              <w:t>155,234</w:t>
            </w: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3800" w:type="dxa"/>
            <w:vAlign w:val="bottom"/>
            <w:vMerge w:val="restart"/>
          </w:tcPr>
          <w:p>
            <w:pPr>
              <w:ind w:left="940"/>
              <w:spacing w:after="0"/>
              <w:rPr>
                <w:sz w:val="20"/>
                <w:szCs w:val="20"/>
                <w:color w:val="auto"/>
              </w:rPr>
            </w:pPr>
            <w:r>
              <w:rPr>
                <w:rFonts w:ascii="Times New Roman" w:cs="Times New Roman" w:eastAsia="Times New Roman" w:hAnsi="Times New Roman"/>
                <w:sz w:val="18"/>
                <w:szCs w:val="18"/>
                <w:color w:val="auto"/>
              </w:rPr>
              <w:t>S - 3</w:t>
            </w: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1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Identity of Issuer</w:t>
            </w:r>
          </w:p>
        </w:tc>
        <w:tc>
          <w:tcPr>
            <w:tcW w:w="2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840" w:type="dxa"/>
            <w:vAlign w:val="bottom"/>
            <w:tcBorders>
              <w:bottom w:val="single" w:sz="8" w:color="auto"/>
            </w:tcBorders>
            <w:gridSpan w:val="2"/>
          </w:tcPr>
          <w:p>
            <w:pPr>
              <w:jc w:val="right"/>
              <w:ind w:right="68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3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Current Value</w:t>
            </w:r>
          </w:p>
        </w:tc>
      </w:tr>
      <w:tr>
        <w:trPr>
          <w:trHeight w:val="156"/>
        </w:trPr>
        <w:tc>
          <w:tcPr>
            <w:tcW w:w="100" w:type="dxa"/>
            <w:vAlign w:val="bottom"/>
          </w:tcPr>
          <w:p>
            <w:pPr>
              <w:spacing w:after="0"/>
              <w:rPr>
                <w:sz w:val="13"/>
                <w:szCs w:val="13"/>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ADOBE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3"/>
                <w:szCs w:val="13"/>
                <w:color w:val="auto"/>
              </w:rPr>
            </w:pPr>
          </w:p>
        </w:tc>
        <w:tc>
          <w:tcPr>
            <w:tcW w:w="1840" w:type="dxa"/>
            <w:vAlign w:val="bottom"/>
            <w:gridSpan w:val="2"/>
          </w:tcPr>
          <w:p>
            <w:pPr>
              <w:jc w:val="right"/>
              <w:ind w:right="147"/>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770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AEGON LTD (NY REGD) NEW YORK REGISTERED SHARES</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593</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AIR PRODUCTS &amp; CHEMICALS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2,026</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ALNYLAM PHARMACEUTICALS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587</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2,416</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4,257</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3,647</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AMERICAN ELECTRIC POWER CO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ANHEUSER-BUSCH INBEV SPN ADR</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2,081</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ARCHER DANIELS MIDLAND CO</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862</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AVANTOR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BAKER HUGHES CO</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1,803</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BANK OF NEW YORK MELLON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2,879</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BAXTER INTL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1,032</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BIOMARIN PHARMACEUTICAL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BOOKING HOLDINGS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2,490</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BRISTOL-MYERS SQUIBB CO</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329</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CIGNA GROUP (THE)</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2,711</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CVS HEALTH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4,365</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CAPITAL ONE FINANCIAL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2,084</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CARRIER GLOBAL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CELANESE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CHARTER COMMUNICATIONS INC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2,703</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COGNIZANT TECH SOLUTIONS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1,270</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COMCAST CORP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3,070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CONOCOPHILLIPS</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889</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DOMINION ENERGY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1,207</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ELANCO ANIMAL HEALTH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1,650</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3,069</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FEDEX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4,094</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FIDELITY NATL INFORM SVCS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2,938</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 CITIZENS BANCSHARES INC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215</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2,808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FORTIVE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2,584</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FOX CORP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FOX CORPORATION B</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 HEALTHCARE TECHNOLOGIES INC WI</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2,264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ARTHUR J GALLAGHAR AND CO</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155</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GAMING AND LEISURE PROPRTI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642</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 AEROSPACE</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1,388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GILEAD SCIENCES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3,118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GSK PLC SPONS ADR</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3,276</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GOLDMAN SACHS GROUP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1,362</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HP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781</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HALEON PLC SPONS ADR</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1,428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HUMANA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2,622</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IDEX CORPORATION</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INCYTE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1,175</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INTERNATIONAL FLAVORS &amp; FRAGRA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1,661</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LPL FINL HLDGS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1,286</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METLIFE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3,971</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3,772</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MICROCHIP TECHNOLOGY</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MOLSON COORS BEVERAGE CO B</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887</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NEUROCRINE BIOSCIENCES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780</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NEWS CORP NEW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337</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NORFOLK SOUTHERN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3,089</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NOVARTIS AG SPON ADR</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OCCIDENTAL PETROLEUM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3,036</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RALLIANT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RTX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6,584</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REGENERON PHARMACEUTICALS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3,068</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ROCHE HOLDING LTD SPON ADR</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SBA COMMUNICATIONS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1,973</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SANOFI SPON ADR</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2,690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SCHWAB CHARLES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6,864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SUN COMMUNITIES INC - REIT</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1,812</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T-MOBILE US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1,239</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TELEDYNE TECHNOLOGIES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TRANSUNION</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755</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2,707</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VF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665</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WELLS FARGO &amp; CO</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2,824</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ZIMMER BIOMET HLDGS INC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1,911</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LYONDELLBASELL INDS CLASS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641</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WILLIS TOWERS WATSON PLC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1,450</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AON PLC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1,694</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BROOKFIELD CORP CL A</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1,216</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TE CONNECTIVITY PLC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2,457</w:t>
            </w:r>
          </w:p>
        </w:tc>
      </w:tr>
      <w:tr>
        <w:trPr>
          <w:trHeight w:val="175"/>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MEDTRONIC PLC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745</w:t>
            </w:r>
          </w:p>
        </w:tc>
      </w:tr>
      <w:tr>
        <w:trPr>
          <w:trHeight w:val="176"/>
        </w:trPr>
        <w:tc>
          <w:tcPr>
            <w:tcW w:w="10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JOHNSON CONTROLS INTERNATIONAL PLC</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5,215</w:t>
            </w:r>
          </w:p>
        </w:tc>
      </w:tr>
      <w:tr>
        <w:trPr>
          <w:trHeight w:val="175"/>
        </w:trPr>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STATE STREET CORP</w:t>
            </w: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COMMON STOCK</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593</w:t>
            </w:r>
          </w:p>
        </w:tc>
      </w:tr>
      <w:tr>
        <w:trPr>
          <w:trHeight w:val="189"/>
        </w:trPr>
        <w:tc>
          <w:tcPr>
            <w:tcW w:w="100" w:type="dxa"/>
            <w:vAlign w:val="bottom"/>
          </w:tcPr>
          <w:p>
            <w:pPr>
              <w:spacing w:after="0"/>
              <w:rPr>
                <w:sz w:val="16"/>
                <w:szCs w:val="16"/>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PAYABLES</w:t>
            </w:r>
          </w:p>
        </w:tc>
        <w:tc>
          <w:tcPr>
            <w:tcW w:w="2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83"/>
        </w:trPr>
        <w:tc>
          <w:tcPr>
            <w:tcW w:w="1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80" w:type="dxa"/>
            <w:vAlign w:val="bottom"/>
          </w:tcPr>
          <w:p>
            <w:pPr>
              <w:ind w:left="1000"/>
              <w:spacing w:after="0"/>
              <w:rPr>
                <w:sz w:val="20"/>
                <w:szCs w:val="20"/>
                <w:color w:val="auto"/>
              </w:rPr>
            </w:pPr>
            <w:r>
              <w:rPr>
                <w:rFonts w:ascii="Times New Roman" w:cs="Times New Roman" w:eastAsia="Times New Roman" w:hAnsi="Times New Roman"/>
                <w:sz w:val="12"/>
                <w:szCs w:val="12"/>
                <w:b w:val="1"/>
                <w:bCs w:val="1"/>
                <w:color w:val="auto"/>
              </w:rPr>
              <w:t>DODGE &amp; COX</w:t>
            </w:r>
          </w:p>
        </w:tc>
        <w:tc>
          <w:tcPr>
            <w:tcW w:w="1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155,495</w:t>
            </w:r>
          </w:p>
        </w:tc>
      </w:tr>
    </w:tbl>
    <w:p>
      <w:pPr>
        <w:spacing w:after="0" w:line="117" w:lineRule="exact"/>
        <w:rPr>
          <w:sz w:val="20"/>
          <w:szCs w:val="20"/>
          <w:color w:val="auto"/>
        </w:rPr>
      </w:pPr>
    </w:p>
    <w:p>
      <w:pPr>
        <w:sectPr>
          <w:pgSz w:w="11900" w:h="16838" w:orient="portrait"/>
          <w:cols w:equalWidth="0" w:num="1">
            <w:col w:w="11180"/>
          </w:cols>
          <w:pgMar w:left="380" w:top="653" w:right="339" w:bottom="0" w:gutter="0" w:footer="0" w:header="0"/>
        </w:sectPr>
      </w:pPr>
    </w:p>
    <w:p>
      <w:pPr>
        <w:jc w:val="center"/>
        <w:ind w:right="40"/>
        <w:spacing w:after="0"/>
        <w:rPr>
          <w:sz w:val="20"/>
          <w:szCs w:val="20"/>
          <w:color w:val="auto"/>
        </w:rPr>
      </w:pPr>
      <w:r>
        <w:rPr>
          <w:rFonts w:ascii="Times New Roman" w:cs="Times New Roman" w:eastAsia="Times New Roman" w:hAnsi="Times New Roman"/>
          <w:sz w:val="17"/>
          <w:szCs w:val="17"/>
          <w:color w:val="auto"/>
        </w:rPr>
        <w:t>S - 4</w:t>
      </w:r>
    </w:p>
    <w:p>
      <w:pPr>
        <w:sectPr>
          <w:pgSz w:w="11900" w:h="16838" w:orient="portrait"/>
          <w:cols w:equalWidth="0" w:num="1">
            <w:col w:w="11180"/>
          </w:cols>
          <w:pgMar w:left="380" w:top="653" w:right="339"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ind w:left="340" w:hanging="251"/>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Identified as a party-in-interest to the Plan.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40" w:type="dxa"/>
            <w:vAlign w:val="bottom"/>
          </w:tcPr>
          <w:p>
            <w:pPr>
              <w:spacing w:after="0"/>
              <w:rPr>
                <w:sz w:val="15"/>
                <w:szCs w:val="15"/>
                <w:color w:val="auto"/>
              </w:rPr>
            </w:pP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26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0" w:type="dxa"/>
            <w:vAlign w:val="bottom"/>
            <w:tcBorders>
              <w:bottom w:val="single" w:sz="8" w:color="auto"/>
            </w:tcBorders>
            <w:gridSpan w:val="2"/>
          </w:tcPr>
          <w:p>
            <w:pPr>
              <w:jc w:val="right"/>
              <w:ind w:right="66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56"/>
        </w:trPr>
        <w:tc>
          <w:tcPr>
            <w:tcW w:w="14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ABBOTT LABORATORIES</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3"/>
                <w:szCs w:val="13"/>
                <w:color w:val="auto"/>
              </w:rPr>
            </w:pPr>
          </w:p>
        </w:tc>
        <w:tc>
          <w:tcPr>
            <w:tcW w:w="1800" w:type="dxa"/>
            <w:vAlign w:val="bottom"/>
            <w:gridSpan w:val="2"/>
          </w:tcPr>
          <w:p>
            <w:pPr>
              <w:jc w:val="right"/>
              <w:ind w:right="127"/>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1,658</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ABBVIE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1,794</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11,858</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5,968</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ELEVANCE HEALTH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3,414</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APPLE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5,498</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APPLIED MATERIALS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3,007</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ASTRAZENECA PLC SPONS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1,635</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BNPSA</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1,331</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BANK OF AMERICA CORPORATION</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5,070</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BOOKING HOLDINGS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2,785</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CIGNA GROUP (THE)</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4,054</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CME GROUP INC CL A</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1,535</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DELTA AIR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3,110</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ESSILORLUXOTTICA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494</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8,968</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FISERV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284</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DYNAMICS CORPORATION</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3,273</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HCA HEALTHCARE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8,413</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ING GROEP NV SPON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1,601</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JPMORGAN CHASE &amp; CO</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4,032</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LOCKHEED MARTIN CORP</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1,123</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MASTERCARD INC CL A</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1,673</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9,426</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NATWEST GROUP PLC SPON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1,459</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NESTLE SA REG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1,247</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NORTHROP GRUMMAN CORP</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3,974</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PEPSICO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2,208</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PROCTER &amp; GAMBLE CO</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2,021</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RTX CORP</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4,231</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ROCHE HOLDING LTD SPON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2,533</w:t>
            </w:r>
          </w:p>
        </w:tc>
      </w:tr>
      <w:tr>
        <w:trPr>
          <w:trHeight w:val="193"/>
        </w:trPr>
        <w:tc>
          <w:tcPr>
            <w:tcW w:w="3860" w:type="dxa"/>
            <w:vAlign w:val="bottom"/>
            <w:gridSpan w:val="2"/>
          </w:tcPr>
          <w:p>
            <w:pPr>
              <w:spacing w:after="0"/>
              <w:rPr>
                <w:sz w:val="20"/>
                <w:szCs w:val="20"/>
                <w:color w:val="auto"/>
              </w:rPr>
            </w:pPr>
            <w:r>
              <w:rPr>
                <w:rFonts w:ascii="Verdana" w:cs="Verdana" w:eastAsia="Verdana" w:hAnsi="Verdana"/>
                <w:sz w:val="13"/>
                <w:szCs w:val="13"/>
                <w:color w:val="auto"/>
              </w:rPr>
              <w:t xml:space="preserve">* </w:t>
            </w:r>
            <w:r>
              <w:rPr>
                <w:rFonts w:ascii="Times New Roman" w:cs="Times New Roman" w:eastAsia="Times New Roman" w:hAnsi="Times New Roman"/>
                <w:sz w:val="11"/>
                <w:szCs w:val="11"/>
                <w:color w:val="auto"/>
              </w:rPr>
              <w:t>State Street SPDR S&amp;P 500 ETF</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1,594</w:t>
            </w:r>
          </w:p>
        </w:tc>
      </w:tr>
      <w:tr>
        <w:trPr>
          <w:trHeight w:val="158"/>
        </w:trPr>
        <w:tc>
          <w:tcPr>
            <w:tcW w:w="14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SALESFORCE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3,290</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SIEMENS AG SPON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553</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SUMITOMO MITSUI FINL GRP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SYNCHRONY FINANCIAL</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1,418</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TAIWAN SEMIC MFG CO LTD SP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11,967</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TRIP.COM GROUP LTD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217</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TRUIST FINL CORP</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1,785</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ULTA BEAUTY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980</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UNILEVER PLC SPONS ADR</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1,689</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2,336</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3,094</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1,904</w:t>
            </w:r>
          </w:p>
        </w:tc>
      </w:tr>
      <w:tr>
        <w:trPr>
          <w:trHeight w:val="175"/>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ACCENTURE PLC CL A</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3,062</w:t>
            </w:r>
          </w:p>
        </w:tc>
      </w:tr>
      <w:tr>
        <w:trPr>
          <w:trHeight w:val="176"/>
        </w:trPr>
        <w:tc>
          <w:tcPr>
            <w:tcW w:w="1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SEAGATE TECHNOLOGY HOLDINGS PLC</w:t>
            </w: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COMMON STOCK</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10,808</w:t>
            </w:r>
          </w:p>
        </w:tc>
      </w:tr>
      <w:tr>
        <w:trPr>
          <w:trHeight w:val="189"/>
        </w:trPr>
        <w:tc>
          <w:tcPr>
            <w:tcW w:w="1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PAYABLES</w:t>
            </w:r>
          </w:p>
        </w:tc>
        <w:tc>
          <w:tcPr>
            <w:tcW w:w="2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83"/>
        </w:trPr>
        <w:tc>
          <w:tcPr>
            <w:tcW w:w="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20" w:type="dxa"/>
            <w:vAlign w:val="bottom"/>
          </w:tcPr>
          <w:p>
            <w:pPr>
              <w:ind w:left="1480"/>
              <w:spacing w:after="0"/>
              <w:rPr>
                <w:sz w:val="20"/>
                <w:szCs w:val="20"/>
                <w:color w:val="auto"/>
              </w:rPr>
            </w:pPr>
            <w:r>
              <w:rPr>
                <w:rFonts w:ascii="Times New Roman" w:cs="Times New Roman" w:eastAsia="Times New Roman" w:hAnsi="Times New Roman"/>
                <w:sz w:val="12"/>
                <w:szCs w:val="12"/>
                <w:b w:val="1"/>
                <w:bCs w:val="1"/>
                <w:color w:val="auto"/>
                <w:w w:val="99"/>
              </w:rPr>
              <w:t>SANDERS CAPITAL</w:t>
            </w: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154,482</w:t>
            </w:r>
          </w:p>
        </w:tc>
      </w:tr>
    </w:tbl>
    <w:p>
      <w:pPr>
        <w:spacing w:after="0" w:line="200"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0" w:name="page21"/>
    <w:bookmarkEnd w:id="20"/>
    <w:p>
      <w:pPr>
        <w:ind w:left="180"/>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 w:type="dxa"/>
            <w:vAlign w:val="bottom"/>
          </w:tcPr>
          <w:p>
            <w:pPr>
              <w:spacing w:after="0"/>
              <w:rPr>
                <w:sz w:val="15"/>
                <w:szCs w:val="15"/>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Identity of Issuer</w:t>
            </w:r>
          </w:p>
        </w:tc>
        <w:tc>
          <w:tcPr>
            <w:tcW w:w="43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40" w:type="dxa"/>
            <w:vAlign w:val="bottom"/>
            <w:tcBorders>
              <w:bottom w:val="single" w:sz="8" w:color="auto"/>
            </w:tcBorders>
            <w:gridSpan w:val="2"/>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3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Current Value</w:t>
            </w:r>
          </w:p>
        </w:tc>
      </w:tr>
      <w:tr>
        <w:trPr>
          <w:trHeight w:val="156"/>
        </w:trPr>
        <w:tc>
          <w:tcPr>
            <w:tcW w:w="160" w:type="dxa"/>
            <w:vAlign w:val="bottom"/>
          </w:tcPr>
          <w:p>
            <w:pPr>
              <w:spacing w:after="0"/>
              <w:rPr>
                <w:sz w:val="13"/>
                <w:szCs w:val="13"/>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ALPHABET INC CL 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64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6,713</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AMAZON.COM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11,574</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AMERICAN EXPRESS CO</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3,843</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APPLE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5,435</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ARM HOLDINGS LTD</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3,017</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BROADCOM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2,275</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CHIPOTLE MEXICAN GRILL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4,478</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COOPER COMPANIES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4,529</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DANAHER CORP</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3,334</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ECOLAB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2,855</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META PLATFORMS INC CL A</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6,036</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GARTNER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3,334</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WW GRAINGER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4,002</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INTUIT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6,386</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MICROSOFT CORP</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11,270</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NETFLIX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3,030</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NIKE INC CL B</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2,966</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NVIDIA CORP</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11,914</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S&amp;P GLOBAL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5,462</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SALESFORCE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6,027</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SERVICENOW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2,721</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SYNOPSYS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5,428</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UNITEDHEALTH GROUP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5,317</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VISA INC CL A</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7,060</w:t>
            </w:r>
          </w:p>
        </w:tc>
      </w:tr>
      <w:tr>
        <w:trPr>
          <w:trHeight w:val="176"/>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WASTE MANAGEMENT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6,913</w:t>
            </w:r>
          </w:p>
        </w:tc>
      </w:tr>
      <w:tr>
        <w:trPr>
          <w:trHeight w:val="175"/>
        </w:trPr>
        <w:tc>
          <w:tcPr>
            <w:tcW w:w="160" w:type="dxa"/>
            <w:vAlign w:val="bottom"/>
          </w:tcPr>
          <w:p>
            <w:pPr>
              <w:spacing w:after="0"/>
              <w:rPr>
                <w:sz w:val="15"/>
                <w:szCs w:val="15"/>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YUM BRANDS INC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6,185</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1"/>
                <w:szCs w:val="11"/>
                <w:color w:val="auto"/>
              </w:rPr>
              <w:t>AON PLC</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4,488</w:t>
            </w:r>
          </w:p>
        </w:tc>
      </w:tr>
      <w:tr>
        <w:trPr>
          <w:trHeight w:val="155"/>
        </w:trPr>
        <w:tc>
          <w:tcPr>
            <w:tcW w:w="160" w:type="dxa"/>
            <w:vAlign w:val="bottom"/>
          </w:tcPr>
          <w:p>
            <w:pPr>
              <w:spacing w:after="0"/>
              <w:rPr>
                <w:sz w:val="13"/>
                <w:szCs w:val="13"/>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CANADIAN PACIFIC KANSAS CITY LTD</w:t>
            </w:r>
          </w:p>
        </w:tc>
        <w:tc>
          <w:tcPr>
            <w:tcW w:w="438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COMMON STOCK</w:t>
            </w: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5,618</w:t>
            </w:r>
          </w:p>
        </w:tc>
      </w:tr>
      <w:tr>
        <w:trPr>
          <w:trHeight w:val="189"/>
        </w:trPr>
        <w:tc>
          <w:tcPr>
            <w:tcW w:w="160" w:type="dxa"/>
            <w:vAlign w:val="bottom"/>
          </w:tcPr>
          <w:p>
            <w:pPr>
              <w:spacing w:after="0"/>
              <w:rPr>
                <w:sz w:val="16"/>
                <w:szCs w:val="16"/>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PAYABLES</w:t>
            </w: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3"/>
        </w:trPr>
        <w:tc>
          <w:tcPr>
            <w:tcW w:w="1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380" w:type="dxa"/>
            <w:vAlign w:val="bottom"/>
          </w:tcPr>
          <w:p>
            <w:pPr>
              <w:ind w:left="1520"/>
              <w:spacing w:after="0"/>
              <w:rPr>
                <w:sz w:val="20"/>
                <w:szCs w:val="20"/>
                <w:color w:val="auto"/>
              </w:rPr>
            </w:pPr>
            <w:r>
              <w:rPr>
                <w:rFonts w:ascii="Times New Roman" w:cs="Times New Roman" w:eastAsia="Times New Roman" w:hAnsi="Times New Roman"/>
                <w:sz w:val="13"/>
                <w:szCs w:val="13"/>
                <w:b w:val="1"/>
                <w:bCs w:val="1"/>
                <w:color w:val="auto"/>
              </w:rPr>
              <w:t>SUSTAINABLE GROWTH ADVISORS</w:t>
            </w:r>
          </w:p>
        </w:tc>
        <w:tc>
          <w:tcPr>
            <w:tcW w:w="138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152,206</w:t>
            </w:r>
          </w:p>
        </w:tc>
      </w:tr>
      <w:tr>
        <w:trPr>
          <w:trHeight w:val="581"/>
        </w:trPr>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 - 6</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8"/>
        </w:trPr>
        <w:tc>
          <w:tcPr>
            <w:tcW w:w="1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21" w:name="page22"/>
    <w:bookmarkEnd w:id="21"/>
    <w:p>
      <w:pPr>
        <w:ind w:left="180"/>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70" w:lineRule="exact"/>
        <w:rPr>
          <w:sz w:val="20"/>
          <w:szCs w:val="20"/>
          <w:color w:val="auto"/>
        </w:rPr>
      </w:pPr>
    </w:p>
    <w:p>
      <w:pPr>
        <w:ind w:left="180"/>
        <w:spacing w:after="0"/>
        <w:tabs>
          <w:tab w:leader="none" w:pos="6540" w:val="left"/>
          <w:tab w:leader="none" w:pos="8860" w:val="left"/>
          <w:tab w:leader="none" w:pos="10000" w:val="left"/>
        </w:tabs>
        <w:rPr>
          <w:sz w:val="20"/>
          <w:szCs w:val="20"/>
          <w:color w:val="auto"/>
        </w:rPr>
      </w:pPr>
      <w:r>
        <w:rPr>
          <w:rFonts w:ascii="Times New Roman" w:cs="Times New Roman" w:eastAsia="Times New Roman" w:hAnsi="Times New Roman"/>
          <w:sz w:val="13"/>
          <w:szCs w:val="13"/>
          <w:b w:val="1"/>
          <w:bCs w:val="1"/>
          <w:color w:val="auto"/>
        </w:rPr>
        <w:t>Identity of Issuer</w:t>
      </w:r>
      <w:r>
        <w:rPr>
          <w:sz w:val="20"/>
          <w:szCs w:val="20"/>
          <w:color w:val="auto"/>
        </w:rPr>
        <w:tab/>
      </w: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3"/>
          <w:szCs w:val="13"/>
          <w:b w:val="1"/>
          <w:bCs w:val="1"/>
          <w:color w:val="auto"/>
        </w:rPr>
        <w:t>Cost</w:t>
      </w:r>
      <w:r>
        <w:rPr>
          <w:sz w:val="20"/>
          <w:szCs w:val="20"/>
          <w:color w:val="auto"/>
        </w:rPr>
        <w:tab/>
      </w:r>
      <w:r>
        <w:rPr>
          <w:rFonts w:ascii="Times New Roman" w:cs="Times New Roman" w:eastAsia="Times New Roman" w:hAnsi="Times New Roman"/>
          <w:sz w:val="12"/>
          <w:szCs w:val="12"/>
          <w:b w:val="1"/>
          <w:bCs w:val="1"/>
          <w:color w:val="auto"/>
        </w:rPr>
        <w:t>Current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20955</wp:posOffset>
            </wp:positionV>
            <wp:extent cx="7029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ectPr>
          <w:pgSz w:w="11900" w:h="16838" w:orient="portrait"/>
          <w:cols w:equalWidth="0" w:num="1">
            <w:col w:w="11220"/>
          </w:cols>
          <w:pgMar w:left="320" w:top="599" w:right="359" w:bottom="1440" w:gutter="0" w:footer="0" w:header="0"/>
        </w:sectPr>
      </w:pPr>
    </w:p>
    <w:p>
      <w:pPr>
        <w:spacing w:after="0" w:line="52"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API GROUP 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ADVANCED ENERGY INDUSTRIES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AGILYSYS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BWX TECHNOLOGIES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BRINKS CO</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BRIXMOR PPTY GROUP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CCC INTELLIGENT SOLUTIONS HOLD CL A</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CABOT 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CACI INTERNATIONAL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CLEAN HARBORS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COHERENT 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COLUMBIA BANKING SYSTEMS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CAE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CRANE NXT CO</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DOLBY LABORATORIES INC CL A</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DORMAN PRODUCTS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ENTEGRIS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GLACIER BANCORP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GRACO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HALOZYME THERAPEUTICS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HEICO CORP CL A</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IDEX CORPORATION</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INGREDION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KBR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MCGRATH RENTCORP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MERCURY SYSTEMS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MINERALS TECHNOLOGIES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PDF SOLUTIONS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POWER INTEGRATIONS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PROSPERITY BANCSHARES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RLI 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RBC BEARINGS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SENSIENT TECHNOLOGIES 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SIMPSON MANUFACTURING CO</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UGI CORP NEW</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UNITED COMMUNITY BANKS GA</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VALVOLINE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VERRA MOBILITY CORP</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WEX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tabs>
          <w:tab w:leader="none" w:pos="5340" w:val="left"/>
        </w:tabs>
        <w:rPr>
          <w:sz w:val="20"/>
          <w:szCs w:val="20"/>
          <w:color w:val="auto"/>
        </w:rPr>
      </w:pPr>
      <w:r>
        <w:rPr>
          <w:rFonts w:ascii="Times New Roman" w:cs="Times New Roman" w:eastAsia="Times New Roman" w:hAnsi="Times New Roman"/>
          <w:sz w:val="12"/>
          <w:szCs w:val="12"/>
          <w:color w:val="auto"/>
        </w:rPr>
        <w:t>WOODWARD INC</w:t>
      </w:r>
      <w:r>
        <w:rPr>
          <w:sz w:val="20"/>
          <w:szCs w:val="20"/>
          <w:color w:val="auto"/>
        </w:rPr>
        <w:tab/>
      </w:r>
      <w:r>
        <w:rPr>
          <w:rFonts w:ascii="Times New Roman" w:cs="Times New Roman" w:eastAsia="Times New Roman" w:hAnsi="Times New Roman"/>
          <w:sz w:val="11"/>
          <w:szCs w:val="11"/>
          <w:color w:val="auto"/>
        </w:rPr>
        <w:t>COMMON STOCK</w:t>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NET PAYABLES</w:t>
      </w:r>
    </w:p>
    <w:p>
      <w:pPr>
        <w:jc w:val="right"/>
        <w:ind w:right="1451"/>
        <w:spacing w:after="0" w:line="206" w:lineRule="auto"/>
        <w:rPr>
          <w:sz w:val="20"/>
          <w:szCs w:val="20"/>
          <w:color w:val="auto"/>
        </w:rPr>
      </w:pPr>
      <w:r>
        <w:rPr>
          <w:rFonts w:ascii="Times New Roman" w:cs="Times New Roman" w:eastAsia="Times New Roman" w:hAnsi="Times New Roman"/>
          <w:sz w:val="13"/>
          <w:szCs w:val="13"/>
          <w:b w:val="1"/>
          <w:bCs w:val="1"/>
          <w:color w:val="auto"/>
        </w:rPr>
        <w:t>SNYDER CAPITAL MANAGEMENT</w:t>
      </w:r>
    </w:p>
    <w:p>
      <w:pPr>
        <w:ind w:left="5460"/>
        <w:spacing w:after="0"/>
        <w:rPr>
          <w:sz w:val="20"/>
          <w:szCs w:val="20"/>
          <w:color w:val="auto"/>
        </w:rPr>
      </w:pPr>
      <w:r>
        <w:rPr>
          <w:rFonts w:ascii="Times New Roman" w:cs="Times New Roman" w:eastAsia="Times New Roman" w:hAnsi="Times New Roman"/>
          <w:sz w:val="18"/>
          <w:szCs w:val="18"/>
          <w:color w:val="auto"/>
        </w:rPr>
        <w:t>S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309" w:hanging="1309"/>
        <w:spacing w:after="0"/>
        <w:tabs>
          <w:tab w:leader="none" w:pos="130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1,758</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1,323</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592</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1,647</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739</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884</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544</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758</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1,715</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1,905</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2,092</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374</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1,848</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344</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1,010</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255</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1,466</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829</w:t>
      </w:r>
    </w:p>
    <w:p>
      <w:pPr>
        <w:spacing w:after="0" w:line="37" w:lineRule="exact"/>
        <w:rPr>
          <w:rFonts w:ascii="Times New Roman" w:cs="Times New Roman" w:eastAsia="Times New Roman" w:hAnsi="Times New Roman"/>
          <w:sz w:val="12"/>
          <w:szCs w:val="12"/>
          <w:color w:val="auto"/>
        </w:rPr>
      </w:pPr>
    </w:p>
    <w:p>
      <w:pPr>
        <w:ind w:left="14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811</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1,296</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235</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918</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1,017</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1,059</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964</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1,068</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643</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534</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789</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910</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478</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1,575</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1,278</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950</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1,384</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1,006</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1,054</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1,079</w:t>
      </w:r>
    </w:p>
    <w:p>
      <w:pPr>
        <w:spacing w:after="0" w:line="37" w:lineRule="exact"/>
        <w:rPr>
          <w:rFonts w:ascii="Times New Roman" w:cs="Times New Roman" w:eastAsia="Times New Roman" w:hAnsi="Times New Roman"/>
          <w:sz w:val="12"/>
          <w:szCs w:val="12"/>
          <w:color w:val="auto"/>
        </w:rPr>
      </w:pPr>
    </w:p>
    <w:p>
      <w:pPr>
        <w:ind w:left="13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434</w:t>
      </w:r>
    </w:p>
    <w:p>
      <w:pPr>
        <w:spacing w:after="0" w:line="37" w:lineRule="exact"/>
        <w:rPr>
          <w:rFonts w:ascii="Times New Roman" w:cs="Times New Roman" w:eastAsia="Times New Roman" w:hAnsi="Times New Roman"/>
          <w:sz w:val="12"/>
          <w:szCs w:val="12"/>
          <w:color w:val="auto"/>
        </w:rPr>
      </w:pPr>
    </w:p>
    <w:p>
      <w:pPr>
        <w:ind w:left="13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1,804</w:t>
      </w:r>
    </w:p>
    <w:p>
      <w:pPr>
        <w:spacing w:after="0" w:line="37" w:lineRule="exact"/>
        <w:rPr>
          <w:rFonts w:ascii="Times New Roman" w:cs="Times New Roman" w:eastAsia="Times New Roman" w:hAnsi="Times New Roman"/>
          <w:sz w:val="12"/>
          <w:szCs w:val="12"/>
          <w:color w:val="auto"/>
        </w:rPr>
      </w:pPr>
    </w:p>
    <w:p>
      <w:pPr>
        <w:ind w:left="140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1045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 w:lineRule="exact"/>
        <w:rPr>
          <w:sz w:val="20"/>
          <w:szCs w:val="20"/>
          <w:color w:val="auto"/>
        </w:rPr>
      </w:pPr>
    </w:p>
    <w:p>
      <w:pPr>
        <w:ind w:left="1229" w:hanging="1229"/>
        <w:spacing w:after="0"/>
        <w:tabs>
          <w:tab w:leader="none" w:pos="1229"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41,339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0458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ectPr>
          <w:pgSz w:w="11900" w:h="16838" w:orient="portrait"/>
          <w:cols w:equalWidth="0" w:num="2">
            <w:col w:w="8891" w:space="720"/>
            <w:col w:w="1609"/>
          </w:cols>
          <w:pgMar w:left="320" w:top="599" w:right="35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persons who administer the Plan have duly caused this annual report to be signed on its behalf by the undersigned, hereunto duly authorized.</w:t>
      </w:r>
    </w:p>
    <w:p>
      <w:pPr>
        <w:spacing w:after="0" w:line="317" w:lineRule="exact"/>
        <w:rPr>
          <w:sz w:val="20"/>
          <w:szCs w:val="20"/>
          <w:color w:val="auto"/>
        </w:rPr>
      </w:pPr>
    </w:p>
    <w:tbl>
      <w:tblPr>
        <w:tblLayout w:type="fixed"/>
        <w:tblInd w:w="620" w:type="dxa"/>
        <w:tblCellMar>
          <w:top w:w="0" w:type="dxa"/>
          <w:left w:w="0" w:type="dxa"/>
          <w:bottom w:w="0" w:type="dxa"/>
          <w:right w:w="0" w:type="dxa"/>
        </w:tblCellMar>
      </w:tblPr>
      <w:tr>
        <w:trPr>
          <w:trHeight w:val="262"/>
        </w:trPr>
        <w:tc>
          <w:tcPr>
            <w:tcW w:w="35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PARAMOUNT GLOBAL 401(k) PLAN</w:t>
            </w:r>
          </w:p>
        </w:tc>
        <w:tc>
          <w:tcPr>
            <w:tcW w:w="0" w:type="dxa"/>
            <w:vAlign w:val="bottom"/>
          </w:tcPr>
          <w:p>
            <w:pPr>
              <w:spacing w:after="0"/>
              <w:rPr>
                <w:sz w:val="1"/>
                <w:szCs w:val="1"/>
                <w:color w:val="auto"/>
              </w:rPr>
            </w:pPr>
          </w:p>
        </w:tc>
      </w:tr>
      <w:tr>
        <w:trPr>
          <w:trHeight w:val="405"/>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Date: June 26, 2026</w:t>
            </w:r>
          </w:p>
        </w:tc>
        <w:tc>
          <w:tcPr>
            <w:tcW w:w="2260" w:type="dxa"/>
            <w:vAlign w:val="bottom"/>
          </w:tcPr>
          <w:p>
            <w:pPr>
              <w:ind w:left="1960"/>
              <w:spacing w:after="0"/>
              <w:rPr>
                <w:sz w:val="20"/>
                <w:szCs w:val="20"/>
                <w:color w:val="auto"/>
              </w:rPr>
            </w:pPr>
            <w:r>
              <w:rPr>
                <w:rFonts w:ascii="Times New Roman" w:cs="Times New Roman" w:eastAsia="Times New Roman" w:hAnsi="Times New Roman"/>
                <w:sz w:val="20"/>
                <w:szCs w:val="20"/>
                <w:color w:val="auto"/>
                <w:w w:val="96"/>
              </w:rPr>
              <w:t>By:</w:t>
            </w: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Johan Eerenstein</w:t>
            </w:r>
          </w:p>
        </w:tc>
        <w:tc>
          <w:tcPr>
            <w:tcW w:w="0" w:type="dxa"/>
            <w:vAlign w:val="bottom"/>
          </w:tcPr>
          <w:p>
            <w:pPr>
              <w:spacing w:after="0"/>
              <w:rPr>
                <w:sz w:val="1"/>
                <w:szCs w:val="1"/>
                <w:color w:val="auto"/>
              </w:rPr>
            </w:pPr>
          </w:p>
        </w:tc>
      </w:tr>
      <w:tr>
        <w:trPr>
          <w:trHeight w:val="76"/>
        </w:trPr>
        <w:tc>
          <w:tcPr>
            <w:tcW w:w="35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4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Johan Eerenstein</w:t>
            </w:r>
          </w:p>
        </w:tc>
        <w:tc>
          <w:tcPr>
            <w:tcW w:w="0" w:type="dxa"/>
            <w:vAlign w:val="bottom"/>
          </w:tcPr>
          <w:p>
            <w:pPr>
              <w:spacing w:after="0"/>
              <w:rPr>
                <w:sz w:val="1"/>
                <w:szCs w:val="1"/>
                <w:color w:val="auto"/>
              </w:rPr>
            </w:pPr>
          </w:p>
        </w:tc>
      </w:tr>
      <w:tr>
        <w:trPr>
          <w:trHeight w:val="262"/>
        </w:trPr>
        <w:tc>
          <w:tcPr>
            <w:tcW w:w="35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Member of the Administrative Committee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tbl>
      <w:tblPr>
        <w:tblLayout w:type="fixed"/>
        <w:tblInd w:w="5460" w:type="dxa"/>
        <w:tblCellMar>
          <w:top w:w="0" w:type="dxa"/>
          <w:left w:w="0" w:type="dxa"/>
          <w:bottom w:w="0" w:type="dxa"/>
          <w:right w:w="0" w:type="dxa"/>
        </w:tblCellMar>
      </w:tblPr>
      <w:tr>
        <w:trPr>
          <w:trHeight w:val="262"/>
        </w:trPr>
        <w:tc>
          <w:tcPr>
            <w:tcW w:w="96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PARAMOUNT SKYDANCE CORPORATION</w:t>
            </w:r>
          </w:p>
        </w:tc>
      </w:tr>
      <w:tr>
        <w:trPr>
          <w:trHeight w:val="422"/>
        </w:trPr>
        <w:tc>
          <w:tcPr>
            <w:tcW w:w="96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6"/>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Katherine Gill-Charest</w:t>
            </w:r>
          </w:p>
        </w:tc>
      </w:tr>
      <w:tr>
        <w:trPr>
          <w:trHeight w:val="240"/>
        </w:trPr>
        <w:tc>
          <w:tcPr>
            <w:tcW w:w="9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Katherine Gill-Charest</w:t>
            </w:r>
          </w:p>
        </w:tc>
      </w:tr>
      <w:tr>
        <w:trPr>
          <w:trHeight w:val="203"/>
        </w:trPr>
        <w:tc>
          <w:tcPr>
            <w:tcW w:w="960" w:type="dxa"/>
            <w:vAlign w:val="bottom"/>
          </w:tcPr>
          <w:p>
            <w:pPr>
              <w:spacing w:after="0"/>
              <w:rPr>
                <w:sz w:val="17"/>
                <w:szCs w:val="17"/>
                <w:color w:val="auto"/>
              </w:rPr>
            </w:pPr>
          </w:p>
        </w:tc>
        <w:tc>
          <w:tcPr>
            <w:tcW w:w="422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i w:val="1"/>
                <w:iCs w:val="1"/>
                <w:color w:val="auto"/>
                <w:w w:val="97"/>
              </w:rPr>
              <w:t>Executive Vice President, Controller and</w:t>
            </w:r>
          </w:p>
        </w:tc>
      </w:tr>
      <w:tr>
        <w:trPr>
          <w:trHeight w:val="262"/>
        </w:trPr>
        <w:tc>
          <w:tcPr>
            <w:tcW w:w="96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Chief Accounting Officer</w:t>
            </w:r>
          </w:p>
        </w:tc>
      </w:tr>
      <w:tr>
        <w:trPr>
          <w:trHeight w:val="89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 - 8</w:t>
            </w:r>
          </w:p>
        </w:tc>
        <w:tc>
          <w:tcPr>
            <w:tcW w:w="4220" w:type="dxa"/>
            <w:vAlign w:val="bottom"/>
          </w:tcPr>
          <w:p>
            <w:pPr>
              <w:spacing w:after="0"/>
              <w:rPr>
                <w:sz w:val="24"/>
                <w:szCs w:val="24"/>
                <w:color w:val="auto"/>
              </w:rPr>
            </w:pPr>
          </w:p>
        </w:tc>
      </w:tr>
    </w:tbl>
    <w:p>
      <w:pPr>
        <w:sectPr>
          <w:pgSz w:w="11900" w:h="16838" w:orient="portrait"/>
          <w:cols w:equalWidth="0" w:num="1">
            <w:col w:w="10720"/>
          </w:cols>
          <w:pgMar w:left="320" w:top="1440" w:right="85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(No. 333-289341) of Paramount Skydance Corporation of our report dated June 26, 2026 relating to the financial statements and supplemental schedules of Paramount Global 401(k) Plan, which appears in this Form 11-K.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2026-06-26T17:56:17Z</dcterms:created>
  <dcterms:modified xsi:type="dcterms:W3CDTF">2026-06-26T17:56:17Z</dcterms:modified>
</cp:coreProperties>
</file>