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6659d8_s8.htm"/>
      <w:bookmarkStart w:id="1" w:name="kstm2626659d8_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October 6,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br/>
        <w:t>THE SECURITIES ACT OF 1933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48"/>
        </w:rPr>
        <w:t>Paramount Skydance Corporation</w:t>
        <w:br/>
      </w: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166" w:type="dxa"/>
        <w:jc w:val="left"/>
        <w:tblInd w:w="0" w:type="dxa"/>
        <w:tblLayout w:type="fixed"/>
        <w:tblCellMar>
          <w:top w:w="0" w:type="dxa"/>
          <w:left w:w="0" w:type="dxa"/>
          <w:bottom w:w="0" w:type="dxa"/>
          <w:right w:w="0" w:type="dxa"/>
        </w:tblCellMar>
      </w:tblPr>
      <w:tblGrid>
        <w:gridCol w:w="1979"/>
        <w:gridCol w:w="1582"/>
        <w:gridCol w:w="1587"/>
        <w:gridCol w:w="927"/>
        <w:gridCol w:w="927"/>
        <w:gridCol w:w="1164"/>
      </w:tblGrid>
      <w:tr>
        <w:trPr/>
        <w:tc>
          <w:tcPr>
            <w:tcW w:w="1979"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left"/>
              <w:rPr/>
            </w:pPr>
            <w:r>
              <w:rPr/>
              <w:t> </w:t>
            </w:r>
          </w:p>
        </w:tc>
        <w:tc>
          <w:tcPr>
            <w:tcW w:w="158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 </w:t>
            </w:r>
          </w:p>
        </w:tc>
      </w:tr>
      <w:tr>
        <w:trPr/>
        <w:tc>
          <w:tcPr>
            <w:tcW w:w="5148" w:type="dxa"/>
            <w:gridSpan w:val="3"/>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br/>
              <w:t>(State or other jurisdiction of incorporation or organization)</w:t>
            </w:r>
          </w:p>
          <w:p>
            <w:pPr>
              <w:pStyle w:val="TableContents"/>
              <w:pBdr/>
              <w:bidi w:val="0"/>
              <w:spacing w:before="0" w:after="0"/>
              <w:ind w:left="0" w:right="0" w:hanging="0"/>
              <w:jc w:val="center"/>
              <w:rPr>
                <w:caps w:val="false"/>
                <w:smallCaps w:val="false"/>
              </w:rPr>
            </w:pPr>
            <w:r>
              <w:rPr>
                <w:caps w:val="false"/>
                <w:smallCaps w:val="false"/>
              </w:rPr>
              <w:t> </w:t>
            </w:r>
          </w:p>
        </w:tc>
        <w:tc>
          <w:tcPr>
            <w:tcW w:w="3018" w:type="dxa"/>
            <w:gridSpan w:val="3"/>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99-3917985</w:t>
              <w:br/>
              <w:t>(I.R.S. Employer Identification No.)</w:t>
            </w:r>
          </w:p>
          <w:p>
            <w:pPr>
              <w:pStyle w:val="TableContents"/>
              <w:pBdr/>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1515 Broadway</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New York, New York 10036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(Address of principal executive offices) (Zip code)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 2025 Incentive Award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Warner Bros. Discovery, Inc. Non-Employee Directors Deferral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Warner Bros. Discovery Supplemental Retirement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 title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Ellison</w:t>
        <w:br/>
        <w:t>c/o Paramount Skydance Corporation</w:t>
        <w:br/>
      </w:r>
      <w:r>
        <w:rPr>
          <w:rFonts w:ascii="Times New Roman;Times;Serif" w:hAnsi="Times New Roman;Times;Serif"/>
          <w:b/>
          <w:i w:val="false"/>
          <w:caps w:val="false"/>
          <w:smallCaps w:val="false"/>
          <w:sz w:val="20"/>
          <w:shd w:fill="FFFFFF" w:val="clear"/>
        </w:rPr>
        <w:t>1515 Broadway</w:t>
        <w:br/>
        <w:t xml:space="preserve">New York, New York 10036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(212) 258-6000</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Paramount Skydance Corporation,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expects to complete the previously announced acquisition contemplated by the Agreement and Plan of Merger, dated as of February 27, 2026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by and among the Company, Warner Bros. Discovery, Inc., a Delaware corporation (“</w:t>
      </w:r>
      <w:r>
        <w:rPr>
          <w:rFonts w:ascii="Times New Roman;Times;Serif" w:hAnsi="Times New Roman;Times;Serif"/>
          <w:b/>
          <w:i/>
          <w:caps w:val="false"/>
          <w:smallCaps w:val="false"/>
          <w:sz w:val="20"/>
        </w:rPr>
        <w:t>WBD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color w:val="231F20"/>
          <w:sz w:val="20"/>
        </w:rPr>
        <w:t>Prince Sub Inc., a Delaware corporation and wholly owned subsidiary of the Company (“</w:t>
      </w:r>
      <w:r>
        <w:rPr>
          <w:rFonts w:ascii="Times New Roman;Times;Serif" w:hAnsi="Times New Roman;Times;Serif"/>
          <w:b/>
          <w:i/>
          <w:caps w:val="false"/>
          <w:smallCaps w:val="false"/>
          <w:color w:val="231F20"/>
          <w:sz w:val="20"/>
        </w:rPr>
        <w:t>Merger Sub</w:t>
      </w:r>
      <w:r>
        <w:rPr>
          <w:rFonts w:ascii="Times New Roman;Times;Serif" w:hAnsi="Times New Roman;Times;Serif"/>
          <w:b w:val="false"/>
          <w:i w:val="false"/>
          <w:caps w:val="false"/>
          <w:smallCaps w:val="false"/>
          <w:color w:val="231F20"/>
          <w:sz w:val="20"/>
        </w:rPr>
        <w:t>”)</w:t>
      </w:r>
      <w:r>
        <w:rPr>
          <w:rFonts w:ascii="Times New Roman;Times;Serif" w:hAnsi="Times New Roman;Times;Serif"/>
          <w:b w:val="false"/>
          <w:i w:val="false"/>
          <w:caps w:val="false"/>
          <w:smallCaps w:val="false"/>
          <w:sz w:val="20"/>
        </w:rPr>
        <w:t xml:space="preserve">. Pursuant to the Merger Agreement, </w:t>
      </w:r>
      <w:r>
        <w:rPr>
          <w:rFonts w:ascii="Times New Roman;Times;Serif" w:hAnsi="Times New Roman;Times;Serif"/>
          <w:b w:val="false"/>
          <w:i w:val="false"/>
          <w:caps w:val="false"/>
          <w:smallCaps w:val="false"/>
          <w:color w:val="231F20"/>
          <w:sz w:val="20"/>
        </w:rPr>
        <w:t>on October 6, 2026</w:t>
      </w:r>
      <w:r>
        <w:rPr>
          <w:rFonts w:ascii="Times New Roman;Times;Serif" w:hAnsi="Times New Roman;Times;Serif"/>
          <w:b w:val="false"/>
          <w:i w:val="false"/>
          <w:caps w:val="false"/>
          <w:smallCaps w:val="false"/>
          <w:sz w:val="20"/>
        </w:rPr>
        <w:t xml:space="preserve">, Merger Sub will merge with and into WBD, with WBD surviving </w:t>
      </w:r>
      <w:r>
        <w:rPr>
          <w:rFonts w:ascii="Times New Roman;Times;Serif" w:hAnsi="Times New Roman;Times;Serif"/>
          <w:b w:val="false"/>
          <w:i w:val="false"/>
          <w:caps w:val="false"/>
          <w:smallCaps w:val="false"/>
          <w:color w:val="231F20"/>
          <w:sz w:val="20"/>
        </w:rPr>
        <w:t>and becoming a wholly owned subsidiary of the Company (the “</w:t>
      </w:r>
      <w:r>
        <w:rPr>
          <w:rFonts w:ascii="Times New Roman;Times;Serif" w:hAnsi="Times New Roman;Times;Serif"/>
          <w:b/>
          <w:i/>
          <w:caps w:val="false"/>
          <w:smallCaps w:val="false"/>
          <w:color w:val="231F20"/>
          <w:sz w:val="20"/>
        </w:rPr>
        <w:t>Merger</w:t>
      </w:r>
      <w:r>
        <w:rPr>
          <w:rFonts w:ascii="Times New Roman;Times;Serif" w:hAnsi="Times New Roman;Times;Serif"/>
          <w:b w:val="false"/>
          <w:i w:val="false"/>
          <w:caps w:val="false"/>
          <w:smallCaps w:val="false"/>
          <w:color w:val="231F20"/>
          <w:sz w:val="20"/>
        </w:rPr>
        <w:t>”).</w:t>
      </w:r>
      <w:r>
        <w:rPr>
          <w:rFonts w:ascii="Times New Roman;Times;Serif" w:hAnsi="Times New Roman;Times;Serif"/>
          <w:b w:val="false"/>
          <w:i w:val="false"/>
          <w:caps w:val="false"/>
          <w:smallCaps w:val="false"/>
          <w:sz w:val="20"/>
        </w:rPr>
        <w:t xml:space="preserve"> The Company has filed an amendment and restatement of its certificate of incorporation to change the Company’s name to Skydance Corporation, which will be effective following the consummation of the Merger on October 6,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has amended the Paramount Skydance Corporation 2025 Incentive Award Plan (the “</w:t>
      </w:r>
      <w:r>
        <w:rPr>
          <w:rFonts w:ascii="Times New Roman;Times;Serif" w:hAnsi="Times New Roman;Times;Serif"/>
          <w:b/>
          <w:i/>
          <w:caps w:val="false"/>
          <w:smallCaps w:val="false"/>
          <w:sz w:val="20"/>
        </w:rPr>
        <w:t>2025 Plan</w:t>
      </w:r>
      <w:r>
        <w:rPr>
          <w:rFonts w:ascii="Times New Roman;Times;Serif" w:hAnsi="Times New Roman;Times;Serif"/>
          <w:b w:val="false"/>
          <w:i w:val="false"/>
          <w:caps w:val="false"/>
          <w:smallCaps w:val="false"/>
          <w:sz w:val="20"/>
        </w:rPr>
        <w:t>”) to rename the plan as the “Skydance Corporation 2025 Incentive Award Plan” and to provide that the shares available for issuance pursuant to the Amended and Restated Warner Bros. Discovery, Inc. Stock Incentive Plan (as adjusted by the Equity Award Exchange Ratio (as defined in the Merger Agreement)) may be used for awards granted to certain service providers under the 2025 Plan (the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effective as of the closing of the Merger. In addition, the Company will assume the plans of WBD indicated on the cover page of this Form S-8, effective as of the closing of the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is being filed by the Company in connection with the registration of (i) an additional 308,538,876 shares of Class B Common Stock, par value $0.001 per share, of the Company (“</w:t>
      </w:r>
      <w:r>
        <w:rPr>
          <w:rFonts w:ascii="Times New Roman;Times;Serif" w:hAnsi="Times New Roman;Times;Serif"/>
          <w:b/>
          <w:i/>
          <w:caps w:val="false"/>
          <w:smallCaps w:val="false"/>
          <w:sz w:val="20"/>
        </w:rPr>
        <w:t>Class B Common Stock</w:t>
      </w:r>
      <w:r>
        <w:rPr>
          <w:rFonts w:ascii="Times New Roman;Times;Serif" w:hAnsi="Times New Roman;Times;Serif"/>
          <w:b w:val="false"/>
          <w:i w:val="false"/>
          <w:caps w:val="false"/>
          <w:smallCaps w:val="false"/>
          <w:sz w:val="20"/>
        </w:rPr>
        <w:t>”) issuable under the 2025 Plan pursuant to the Amendment, and 44,140 shares of Class B Common Stock issuable upon settlement of certain deferred compensation obligations of the Company under the Warner Bros. Discovery, Inc. Non-Employee Directors Deferral Plan (the “</w:t>
      </w:r>
      <w:r>
        <w:rPr>
          <w:rFonts w:ascii="Times New Roman;Times;Serif" w:hAnsi="Times New Roman;Times;Serif"/>
          <w:b/>
          <w:i/>
          <w:caps w:val="false"/>
          <w:smallCaps w:val="false"/>
          <w:sz w:val="20"/>
        </w:rPr>
        <w:t>Director Deferred Compensation Plan</w:t>
      </w:r>
      <w:r>
        <w:rPr>
          <w:rFonts w:ascii="Times New Roman;Times;Serif" w:hAnsi="Times New Roman;Times;Serif"/>
          <w:b w:val="false"/>
          <w:i w:val="false"/>
          <w:caps w:val="false"/>
          <w:smallCaps w:val="false"/>
          <w:sz w:val="20"/>
        </w:rPr>
        <w:t>”), and (ii) certain deferred compensation obligations of the Company pursuant to the Warner Bros. Discovery Supplemental Retirement Plan (the “</w:t>
      </w:r>
      <w:r>
        <w:rPr>
          <w:rFonts w:ascii="Times New Roman;Times;Serif" w:hAnsi="Times New Roman;Times;Serif"/>
          <w:b/>
          <w:i/>
          <w:caps w:val="false"/>
          <w:smallCaps w:val="false"/>
          <w:sz w:val="20"/>
        </w:rPr>
        <w:t>Employee Deferred Compensation Plan</w:t>
      </w:r>
      <w:r>
        <w:rPr>
          <w:rFonts w:ascii="Times New Roman;Times;Serif" w:hAnsi="Times New Roman;Times;Serif"/>
          <w:b w:val="false"/>
          <w:i w:val="false"/>
          <w:caps w:val="false"/>
          <w:smallCaps w:val="false"/>
          <w:sz w:val="20"/>
        </w:rPr>
        <w:t>” and, together with the Director Deferred Compensation Plan, the “</w:t>
      </w:r>
      <w:r>
        <w:rPr>
          <w:rFonts w:ascii="Times New Roman;Times;Serif" w:hAnsi="Times New Roman;Times;Serif"/>
          <w:b/>
          <w:i/>
          <w:caps w:val="false"/>
          <w:smallCaps w:val="false"/>
          <w:sz w:val="20"/>
        </w:rPr>
        <w:t>Deferred Compensation Plans</w:t>
      </w:r>
      <w:r>
        <w:rPr>
          <w:rFonts w:ascii="Times New Roman;Times;Serif" w:hAnsi="Times New Roman;Times;Serif"/>
          <w:b w:val="false"/>
          <w:i w:val="false"/>
          <w:caps w:val="false"/>
          <w:smallCaps w:val="false"/>
          <w:sz w:val="20"/>
        </w:rPr>
        <w:t>”). Pursuant to Rule 416(c)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this Registration Statement also covers an indeterminate amount of interests to be offered or sold pursuant to the Director Deferred Compensation Plan. This Registration Statement registers an aggregate of 308,583,016 shares of Class B Common Stock and $1,000,000.00 in deferred compensation obligations in the amounts and pursuant to the plans as described in the Filing Fee Table on Exhibit 107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 Plan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40"/>
        <w:gridCol w:w="10065"/>
      </w:tblGrid>
      <w:tr>
        <w:trPr/>
        <w:tc>
          <w:tcPr>
            <w:tcW w:w="140" w:type="dxa"/>
            <w:tcBorders/>
            <w:shd w:fill="FFFFFF" w:val="clear"/>
            <w:vAlign w:val="center"/>
          </w:tcPr>
          <w:p>
            <w:pPr>
              <w:pStyle w:val="TableContents"/>
              <w:bidi w:val="0"/>
              <w:spacing w:before="0" w:after="283"/>
              <w:jc w:val="both"/>
              <w:rPr>
                <w:sz w:val="20"/>
              </w:rPr>
            </w:pPr>
            <w:r>
              <w:rPr>
                <w:sz w:val="20"/>
              </w:rPr>
              <w:t>*</w:t>
            </w:r>
          </w:p>
        </w:tc>
        <w:tc>
          <w:tcPr>
            <w:tcW w:w="10065" w:type="dxa"/>
            <w:tcBorders/>
            <w:shd w:fill="FFFFFF" w:val="clear"/>
            <w:vAlign w:val="center"/>
          </w:tcPr>
          <w:p>
            <w:pPr>
              <w:pStyle w:val="TableContents"/>
              <w:bidi w:val="0"/>
              <w:spacing w:before="0" w:after="283"/>
              <w:jc w:val="both"/>
              <w:rPr>
                <w:sz w:val="20"/>
              </w:rPr>
            </w:pPr>
            <w:r>
              <w:rPr>
                <w:sz w:val="20"/>
              </w:rPr>
              <w:t>The documents containing the information specified in this Part I of Form S-8 (plan information and registration information and employee plan annual information) will be sent or given to employees as specified by the U.S. Securities and Exchange Commission (the “</w:t>
            </w:r>
            <w:r>
              <w:rPr>
                <w:b/>
                <w:i/>
                <w:sz w:val="20"/>
              </w:rPr>
              <w:t>Commission</w:t>
            </w:r>
            <w:r>
              <w:rPr>
                <w:sz w:val="20"/>
              </w:rPr>
              <w:t>”) pursuant to Rule 428(b)(1) of the Securities Act. Such documents are not required to be and are not filed with the Commission either as part of this Registration Statement or as prospectuses or prospectus supplements pursuant to Rule 424 of the Securities Act. These documents and the documents incorporated by reference in this Registration Statement pursuant to Item 3 of Part II hereof, taken together, constitute a prospectus that meets the requirements of Section 10(a) of the Securities Act, and are available without charge, upon written or oral request to 1515 Broadway, New York, New York 10036, Attn: Investor Relations, Telephone Number: (212) 258-6000.</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THIS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in this Registration Statement to the “registrant,” or similar references, refer to the Company, unless otherwise stated or the context otherwise requires.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have been filed by the Company with the Commission pursuant to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are incorporated by reference in, and shall be deemed to be a part of, this Registration Statement: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 xml:space="preserve">the Company’s Annual Report on Form 10-K for the fiscal year ended December 31, 2025 (filed with the Commission on </w:t>
            </w:r>
            <w:hyperlink r:id="rId2">
              <w:r>
                <w:rPr>
                  <w:rStyle w:val="InternetLink"/>
                </w:rPr>
                <w:t>February 25, 2026</w:t>
              </w:r>
            </w:hyperlink>
            <w:r>
              <w:rPr/>
              <w:t xml:space="preserve">), as amended by Amendment No. 1 to such Annual Report on Form 10-K/A (filed with the Commission on </w:t>
            </w:r>
            <w:hyperlink r:id="rId3">
              <w:r>
                <w:rPr>
                  <w:rStyle w:val="InternetLink"/>
                </w:rPr>
                <w:t>April 24, 2026</w:t>
              </w:r>
            </w:hyperlink>
            <w:r>
              <w:rPr/>
              <w:t xml:space="preserve">), including as superseded by, and solely to the extent set forth in, the Company’s Current Report on Form 8-K filed with the Commission on </w:t>
            </w:r>
            <w:hyperlink r:id="rId4">
              <w:r>
                <w:rPr>
                  <w:rStyle w:val="InternetLink"/>
                </w:rPr>
                <w:t>May 13, 2026</w:t>
              </w:r>
            </w:hyperlink>
            <w:r>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 xml:space="preserve">the Company’s Quarterly Reports on Form 10-Q for the quarterly periods ended March 31, 2026 (filed with the Commission on </w:t>
            </w:r>
            <w:hyperlink r:id="rId5">
              <w:r>
                <w:rPr>
                  <w:rStyle w:val="InternetLink"/>
                </w:rPr>
                <w:t>May 4, 2026</w:t>
              </w:r>
            </w:hyperlink>
            <w:r>
              <w:rPr/>
              <w:t xml:space="preserve">) and June 30, 2026 (filed with the SEC on </w:t>
            </w:r>
            <w:hyperlink r:id="rId6">
              <w:r>
                <w:rPr>
                  <w:rStyle w:val="InternetLink"/>
                </w:rPr>
                <w:t>August 4, 2026</w:t>
              </w:r>
            </w:hyperlink>
            <w:r>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283"/>
              <w:jc w:val="both"/>
              <w:rPr/>
            </w:pPr>
            <w:r>
              <w:rPr/>
              <w:t xml:space="preserve">the Company’s Current Reports on Form 8-K filed with the Commission on </w:t>
            </w:r>
            <w:hyperlink r:id="rId7">
              <w:r>
                <w:rPr>
                  <w:rStyle w:val="InternetLink"/>
                </w:rPr>
                <w:t>January 14, 2026</w:t>
              </w:r>
            </w:hyperlink>
            <w:r>
              <w:rPr/>
              <w:t xml:space="preserve">, </w:t>
            </w:r>
            <w:hyperlink r:id="rId8">
              <w:r>
                <w:rPr>
                  <w:rStyle w:val="InternetLink"/>
                </w:rPr>
                <w:t>January 22, 2026</w:t>
              </w:r>
            </w:hyperlink>
            <w:r>
              <w:rPr/>
              <w:t xml:space="preserve">, </w:t>
            </w:r>
            <w:hyperlink r:id="rId9">
              <w:r>
                <w:rPr>
                  <w:rStyle w:val="InternetLink"/>
                </w:rPr>
                <w:t>February 10, 2026</w:t>
              </w:r>
            </w:hyperlink>
            <w:r>
              <w:rPr/>
              <w:t xml:space="preserve">, </w:t>
            </w:r>
            <w:hyperlink r:id="rId10">
              <w:r>
                <w:rPr>
                  <w:rStyle w:val="InternetLink"/>
                </w:rPr>
                <w:t>March 2, 2026</w:t>
              </w:r>
            </w:hyperlink>
            <w:r>
              <w:rPr/>
              <w:t xml:space="preserve"> (other than the information furnished pursuant to Item 7.01 and Exhibit 99.1 thereto), </w:t>
            </w:r>
            <w:hyperlink r:id="rId11">
              <w:r>
                <w:rPr>
                  <w:rStyle w:val="InternetLink"/>
                </w:rPr>
                <w:t>April 7, 2026</w:t>
              </w:r>
            </w:hyperlink>
            <w:r>
              <w:rPr/>
              <w:t xml:space="preserve">, </w:t>
            </w:r>
            <w:hyperlink r:id="rId12">
              <w:r>
                <w:rPr>
                  <w:rStyle w:val="InternetLink"/>
                </w:rPr>
                <w:t>April 9, 2026</w:t>
              </w:r>
            </w:hyperlink>
            <w:r>
              <w:rPr/>
              <w:t xml:space="preserve">, </w:t>
            </w:r>
            <w:hyperlink r:id="rId13">
              <w:r>
                <w:rPr>
                  <w:rStyle w:val="InternetLink"/>
                </w:rPr>
                <w:t>June 29, 2026</w:t>
              </w:r>
            </w:hyperlink>
            <w:r>
              <w:rPr/>
              <w:t xml:space="preserve">, </w:t>
            </w:r>
            <w:hyperlink r:id="rId14">
              <w:r>
                <w:rPr>
                  <w:rStyle w:val="InternetLink"/>
                </w:rPr>
                <w:t>July 23, 2026</w:t>
              </w:r>
            </w:hyperlink>
            <w:r>
              <w:rPr/>
              <w:t xml:space="preserve">, </w:t>
            </w:r>
            <w:hyperlink r:id="rId15">
              <w:r>
                <w:rPr>
                  <w:rStyle w:val="InternetLink"/>
                </w:rPr>
                <w:t>July 31, 2026</w:t>
              </w:r>
            </w:hyperlink>
            <w:r>
              <w:rPr/>
              <w:t xml:space="preserve"> (as amended by Amendment No. 1 to such Current Report on Form 8-K/A, filed with the Commission on </w:t>
            </w:r>
            <w:hyperlink r:id="rId16">
              <w:r>
                <w:rPr>
                  <w:rStyle w:val="InternetLink"/>
                </w:rPr>
                <w:t>August 4, 2026</w:t>
              </w:r>
            </w:hyperlink>
            <w:r>
              <w:rPr/>
              <w:t xml:space="preserve">), </w:t>
            </w:r>
            <w:hyperlink r:id="rId17">
              <w:r>
                <w:rPr>
                  <w:rStyle w:val="InternetLink"/>
                </w:rPr>
                <w:t>September 25, 2026</w:t>
              </w:r>
            </w:hyperlink>
            <w:r>
              <w:rPr/>
              <w:t xml:space="preserve"> (other than the information furnished pursuant to Item 7.01 and Exhibit 99 thereto), </w:t>
            </w:r>
            <w:hyperlink r:id="rId18">
              <w:r>
                <w:rPr>
                  <w:rStyle w:val="InternetLink"/>
                </w:rPr>
                <w:t>September 30, 2026</w:t>
              </w:r>
            </w:hyperlink>
            <w:r>
              <w:rPr/>
              <w:t xml:space="preserve">, and </w:t>
            </w:r>
            <w:hyperlink r:id="rId19">
              <w:r>
                <w:rPr>
                  <w:rStyle w:val="InternetLink"/>
                </w:rPr>
                <w:t>October 1, 2026</w:t>
              </w:r>
            </w:hyperlink>
            <w:r>
              <w:rPr/>
              <w:t xml:space="preserve"> (other than the information furnished pursuant to Item 7.01 and Exhibit 99.1 thereto);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(d)</w:t>
            </w:r>
          </w:p>
        </w:tc>
        <w:tc>
          <w:tcPr>
            <w:tcW w:w="9943" w:type="dxa"/>
            <w:tcBorders/>
            <w:vAlign w:val="center"/>
          </w:tcPr>
          <w:p>
            <w:pPr>
              <w:pStyle w:val="TableContents"/>
              <w:bidi w:val="0"/>
              <w:spacing w:before="0" w:after="283"/>
              <w:jc w:val="both"/>
              <w:rPr/>
            </w:pPr>
            <w:r>
              <w:rPr/>
              <w:t xml:space="preserve">the description of the Company’s capital stock registered under Section 12 of the Exchange Act pursuant to Rule 12g-3(a) promulgated under the Exchange Act in the Company’s Registration Statement on Form S-4 filed with the Commission on </w:t>
            </w:r>
            <w:hyperlink r:id="rId20">
              <w:r>
                <w:rPr>
                  <w:rStyle w:val="InternetLink"/>
                </w:rPr>
                <w:t>November 4, 2024</w:t>
              </w:r>
            </w:hyperlink>
            <w:r>
              <w:rPr/>
              <w:t xml:space="preserve"> and declared effective by the Commission on February 13, 2025, including any amendments or reports filed for the purposes of updating such description, including Exhibit 4(a) to the Company’s Annual Report on Form 10-K for the fiscal year ended December 31, 2025 (filed with the Commission on </w:t>
            </w:r>
            <w:hyperlink r:id="rId21">
              <w:r>
                <w:rPr>
                  <w:rStyle w:val="InternetLink"/>
                </w:rPr>
                <w:t>February 25, 2026</w:t>
              </w:r>
            </w:hyperlink>
            <w:r>
              <w:rPr/>
              <w:t xml:space="preserve">), and Item 5.03 of the Company’s Current Report on Form 8-K (filed with the Commission on </w:t>
            </w:r>
            <w:hyperlink r:id="rId22">
              <w:r>
                <w:rPr>
                  <w:rStyle w:val="InternetLink"/>
                </w:rPr>
                <w:t>April 7, 2026</w:t>
              </w:r>
            </w:hyperlink>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filed by the Company with the Commission pursuant to Sections 13(a), 13(c), 14 and 15(d) of the Exchange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or reports.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Registration Statement, any document or any statement contained in a document incorporated or deemed to be incorporated herein by reference shall be deemed to be modified or superseded to the extent that a subsequently filed document or a statement contained therein, or in any other subsequently filed document which also is or is deemed to be incorporated by reference herein, modifies or supersedes such document or such statement in such document. Any statement so modified or superseded shall not be deemed, except as so modified or superseded, to constitute a part of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no circumstances shall any information furnished under Item 2.02 or 7.01 of Form 8-K be deemed incorporated herein by reference unless such Form 8-K expressly provides to the contrary.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Employee Deferred Compensation Plan, WBD provided eligible employees the opportunity to agree to the deferral of a specific percentage of their base salary, commissions and eligible cash incentive awards. Under the Director Deferred Compensation Plan, WBD provided eligible directors the opportunity to agree to the deferral of a specific percentage of their cash retainers and stock retainers. The Company will assume, effective as of the closing of the Merger, the obligations of WBD under the Deferred Compensation Plans in the Merger (the “</w:t>
      </w:r>
      <w:r>
        <w:rPr>
          <w:rFonts w:ascii="Times New Roman;Times;Serif" w:hAnsi="Times New Roman;Times;Serif"/>
          <w:b/>
          <w:i/>
          <w:caps w:val="false"/>
          <w:smallCaps w:val="false"/>
          <w:sz w:val="20"/>
        </w:rPr>
        <w:t>Obligations</w:t>
      </w:r>
      <w:r>
        <w:rPr>
          <w:rFonts w:ascii="Times New Roman;Times;Serif" w:hAnsi="Times New Roman;Times;Serif"/>
          <w:b w:val="false"/>
          <w:i w:val="false"/>
          <w:caps w:val="false"/>
          <w:smallCaps w:val="false"/>
          <w:sz w:val="20"/>
        </w:rPr>
        <w:t>”), which will be unsecured general obligations of the Company to pay the applicable deferred compensation, including any amounts that the Company has credited to a participant’s account as discretionary employer contributions (if applicable), and earnings credited on such amounts in the future in accordance with the terms of the applicable plan, and will rank pari passu with other unsecured and unsubordinated indebtedness of the Company from time to time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Deferred Compensation Plans, amounts credited to a participant’s account are credited with earnings based on a notional investment measurement among various investment crediting options approved by the Company, including shares of Class B Common Stock or other shares of common stock that are listed on a domestic or international stock exchange. The Obligations are payable in cash (under the Employee Deferred Compensation Plan) or shares of Class B Common Stock (under the Director Deferred Compensation Plan) in a lump-sum distribution or in installments, generally following such date or dates selected by the participant in accordance with the terms of the applicable Deferred Compensation Plan, or otherwise as provided in the applicable plan, subject to certain exceptions such as for payment upon the death of the participant.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are not subject in any manner to anticipation, alienation, sale, transfer, assignment, pledge, hypothecation, encumbrance, attachment or garnishment. Any attempt by any person to transfer or assign benefits under the Deferred Compensation Plans, other than a claim for benefits by a participant or his or her beneficiary(ies), will be null and void.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trading market for the Obligations. The Obligations are not convertible into any other security of the Company. No trustee has been appointed to take action with respect to the Obligations and each participant in the Deferred Compensation Plans will be responsible for enforcing his or her own rights with respect to the Obligations. WBD maintains and the Company will assume, effective as of the closing of the Merger, a trust from which it can satisfy certain Obligations under the Employee Deferred Compensation Plan and the Company may, but will not be obligated to, set aside amounts or establish a trust or fund to serve as a source of funds from which it can satisfy the Obligations under the Director Deferred Compensation Plan. Participants in the Deferred Compensation Plans will have no rights to any assets held in any trust or fund except as general creditors of the Company. Assets in any trust or fund will at all times be subject to the claims of the Company’s general creditors.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incorporated in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Delaware General Corporation Law</w:t>
      </w:r>
      <w:r>
        <w:rPr>
          <w:rFonts w:ascii="Times New Roman;Times;Serif" w:hAnsi="Times New Roman;Times;Serif"/>
          <w:b w:val="false"/>
          <w:i w:val="false"/>
          <w:caps w:val="false"/>
          <w:smallCaps w:val="false"/>
          <w:sz w:val="20"/>
        </w:rPr>
        <w:t>. Section 145(a) of the General Corporation Law of the State of Delaware (the “</w:t>
      </w:r>
      <w:r>
        <w:rPr>
          <w:rFonts w:ascii="Times New Roman;Times;Serif" w:hAnsi="Times New Roman;Times;Serif"/>
          <w:b/>
          <w:i/>
          <w:caps w:val="false"/>
          <w:smallCaps w:val="false"/>
          <w:sz w:val="20"/>
        </w:rPr>
        <w:t>Delaware General Corporation Law</w:t>
      </w:r>
      <w:r>
        <w:rPr>
          <w:rFonts w:ascii="Times New Roman;Times;Serif" w:hAnsi="Times New Roman;Times;Serif"/>
          <w:b w:val="false"/>
          <w:i w:val="false"/>
          <w:caps w:val="false"/>
          <w:smallCaps w:val="false"/>
          <w:sz w:val="20"/>
        </w:rPr>
        <w:t>”)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145(b) of the Delaware General Corporation Law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the person is fairly and reasonably entitled to indemnity for such expenses as the Delaware Court of Chancery or such other court shall deem proper.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145(c) of the Delaware General Corporation Law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145(d) of the Delaware General Corporation Law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145(f) of the Delaware General Corporation Law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145(g) of the Delaware General Corporation Law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145(j) of the Delaware General Corporation Law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Delaware General Corporation Law allows a corporation to include in its certificate of incorporation a provision eliminating or limiting the personal liability of a director or officer to the corporation or its stockholders for monetary damages for breach of fiduciary duty as a director or officer, except in cases where the director or officer breached his or her duty of loyalty to the corporation or its stockholders, the director’s or officer’s act or omission was not in good faith or which involved intentional misconduct or a knowing violation of the law, the director willfully or negligently authorized the unlawful payment of a dividend or approved an unlawful stock redemption or repurchase, or where the director or officer obtained an improper personal benefit, or, in the case of an officer, in any action by or in the right of the corporation. The Company’s amended and restated certificate of incorporation (as amended, the “</w:t>
      </w:r>
      <w:r>
        <w:rPr>
          <w:rFonts w:ascii="Times New Roman;Times;Serif" w:hAnsi="Times New Roman;Times;Serif"/>
          <w:b/>
          <w:i/>
          <w:caps w:val="false"/>
          <w:smallCaps w:val="false"/>
          <w:sz w:val="20"/>
        </w:rPr>
        <w:t>A&amp;R Charter</w:t>
      </w:r>
      <w:r>
        <w:rPr>
          <w:rFonts w:ascii="Times New Roman;Times;Serif" w:hAnsi="Times New Roman;Times;Serif"/>
          <w:b w:val="false"/>
          <w:i w:val="false"/>
          <w:caps w:val="false"/>
          <w:smallCaps w:val="false"/>
          <w:sz w:val="20"/>
        </w:rPr>
        <w:t>”) contains provisions that eliminate directors’ and officers’ personal liability in certain circumstances, including the instances described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Amended and Restated Certificate of Incorporation and Amended and Restated Bylaws</w:t>
      </w:r>
      <w:r>
        <w:rPr>
          <w:rFonts w:ascii="Times New Roman;Times;Serif" w:hAnsi="Times New Roman;Times;Serif"/>
          <w:b w:val="false"/>
          <w:i w:val="false"/>
          <w:caps w:val="false"/>
          <w:smallCaps w:val="false"/>
          <w:sz w:val="20"/>
        </w:rPr>
        <w:t>. The A&amp;R Charter and the Company’s amended and restated bylaws (the “</w:t>
      </w:r>
      <w:r>
        <w:rPr>
          <w:rFonts w:ascii="Times New Roman;Times;Serif" w:hAnsi="Times New Roman;Times;Serif"/>
          <w:b/>
          <w:i/>
          <w:caps w:val="false"/>
          <w:smallCaps w:val="false"/>
          <w:sz w:val="20"/>
        </w:rPr>
        <w:t>A&amp;R Bylaws</w:t>
      </w:r>
      <w:r>
        <w:rPr>
          <w:rFonts w:ascii="Times New Roman;Times;Serif" w:hAnsi="Times New Roman;Times;Serif"/>
          <w:b w:val="false"/>
          <w:i w:val="false"/>
          <w:caps w:val="false"/>
          <w:smallCaps w:val="false"/>
          <w:sz w:val="20"/>
        </w:rPr>
        <w:t>”) provide that the Company shall indemnify any person who was or is involved in, or is threatened to be involved in, any threatened, pending or completed action, suit or proceeding, whether civil, criminal, administrative or investigative, by reason of the fact that he or she is or was a director, officer or employee of the Company, or is or was serving at the request of the Company as a director, officer (including, without limitation, a trustee) employee or agent of another corporation, limited liability company, partnership, joint venture, trust or other enterprise, to the fullest extent authorized by the Delaware General Corporation Law, as the same exists or may hereafter be amended, against judgments, fines, amounts paid in settlement and expenses (including attorneys’ fees), actually and reasonably incurred by him or her in connection with such action, suit or proceeding. Notwithstanding the foregoing, except with respect to proceedings to enforce rights to indemnification and advancement of expenses, the Company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Charter and the A&amp;R Bylaws provide that, to the extent that a director, officer or employee of the Company has been successful on the merits or otherwise in defense of any action, suit or proceeding referred to above, or in defense of any claim, issue or matter therein, such person shall be indemnified against expenses (including attorneys’ fees) actually and reasonably incurred by that person in connection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Agreements</w:t>
      </w:r>
      <w:r>
        <w:rPr>
          <w:rFonts w:ascii="Times New Roman;Times;Serif" w:hAnsi="Times New Roman;Times;Serif"/>
          <w:b w:val="false"/>
          <w:i w:val="false"/>
          <w:caps w:val="false"/>
          <w:smallCaps w:val="false"/>
          <w:sz w:val="20"/>
        </w:rPr>
        <w:t>. The indemnification and advancement of expenses provided by, or granted pursuant to, the indemnification provisions of the A&amp;R Charter and the A&amp;R Bylaws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the Company is authorized to enter into an agreement with any director, officer or employee of the Company providing indemnification for such person against expenses, including attorneys’ fees, judgments, fines and amounts paid in settlement that result from any threatened, pending or completed action, suit or proceeding, whether civil, criminal, administrative or investigative, including any action, suit or proceeding by or in the right of the Company, that arises by reason of the fact that such person is or was a director, officer or employee of the Company, or is or was serving at the request of the Company as a director, officer or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 Pursuant to the foregoing authorization, the Company has entered into indemnification agreements with each of its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Liability Insurance</w:t>
      </w:r>
      <w:r>
        <w:rPr>
          <w:rFonts w:ascii="Times New Roman;Times;Serif" w:hAnsi="Times New Roman;Times;Serif"/>
          <w:b w:val="false"/>
          <w:i w:val="false"/>
          <w:caps w:val="false"/>
          <w:smallCaps w:val="false"/>
          <w:sz w:val="20"/>
        </w:rPr>
        <w:t>. The Company may purchase and maintain insurance on behalf of any person who is or was a director, officer or employee of the Company, or is or was serving at the request of the Company as a director, officer or employee of another corporation, limited liability company, partnership, joint venture, trust or other enterprise against any liability asserted against him or her and incurred by him or her in any such capacity, or arising out of his or her status as such, whether or not the Company would have the power to indemnify him or her against such liability under the provisions of the A&amp;R Charter or the A&amp;R Bylaws. The Company has purchased certain liability insurance for its officers and directors as permitted by Section 145(g) of the Delaware General Corporation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statements are subject to the detailed provisions of Sections 145 and 102 of the Delaware General Corporation Law and the A&amp;R Charter and the A&amp;R Bylaws.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exhibits to this Registration Statement: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
        <w:gridCol w:w="60"/>
        <w:gridCol w:w="6147"/>
        <w:gridCol w:w="60"/>
        <w:gridCol w:w="706"/>
        <w:gridCol w:w="60"/>
        <w:gridCol w:w="650"/>
        <w:gridCol w:w="60"/>
        <w:gridCol w:w="755"/>
        <w:gridCol w:w="60"/>
        <w:gridCol w:w="862"/>
      </w:tblGrid>
      <w:tr>
        <w:trPr/>
        <w:tc>
          <w:tcPr>
            <w:tcW w:w="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3" w:type="dxa"/>
            <w:gridSpan w:val="7"/>
            <w:tcBorders>
              <w:bottom w:val="single" w:sz="8" w:space="0" w:color="000000"/>
            </w:tcBorders>
            <w:tcMar>
              <w:bottom w:w="28" w:type="dxa"/>
            </w:tcMar>
            <w:vAlign w:val="center"/>
          </w:tcPr>
          <w:p>
            <w:pPr>
              <w:pStyle w:val="TableContents"/>
              <w:bidi w:val="0"/>
              <w:spacing w:before="0" w:after="283"/>
              <w:jc w:val="center"/>
              <w:rPr/>
            </w:pPr>
            <w:r>
              <w:rPr>
                <w:b/>
              </w:rPr>
              <w:t>Incorporated</w:t>
            </w:r>
            <w:r>
              <w:rPr/>
              <w:t xml:space="preserve"> </w:t>
            </w:r>
            <w:r>
              <w:rPr>
                <w:b/>
              </w:rPr>
              <w:t>by Reference</w:t>
            </w:r>
          </w:p>
        </w:tc>
      </w:tr>
      <w:tr>
        <w:trPr/>
        <w:tc>
          <w:tcPr>
            <w:tcW w:w="785" w:type="dxa"/>
            <w:tcBorders>
              <w:bottom w:val="single" w:sz="8" w:space="0" w:color="000000"/>
            </w:tcBorders>
            <w:tcMar>
              <w:bottom w:w="28" w:type="dxa"/>
            </w:tcMar>
            <w:vAlign w:val="center"/>
          </w:tcPr>
          <w:p>
            <w:pPr>
              <w:pStyle w:val="TableContents"/>
              <w:bidi w:val="0"/>
              <w:spacing w:before="0" w:after="283"/>
              <w:jc w:val="center"/>
              <w:rPr>
                <w:b/>
              </w:rPr>
            </w:pPr>
            <w:r>
              <w:rPr>
                <w:b/>
              </w:rPr>
              <w:t>Exhibit</w:t>
            </w:r>
          </w:p>
        </w:tc>
        <w:tc>
          <w:tcPr>
            <w:tcW w:w="60" w:type="dxa"/>
            <w:tcBorders/>
            <w:vAlign w:val="center"/>
          </w:tcPr>
          <w:p>
            <w:pPr>
              <w:pStyle w:val="TableContents"/>
              <w:bidi w:val="0"/>
              <w:spacing w:before="0" w:after="283"/>
              <w:jc w:val="left"/>
              <w:rPr/>
            </w:pPr>
            <w:r>
              <w:rPr/>
              <w:t> </w:t>
            </w:r>
          </w:p>
        </w:tc>
        <w:tc>
          <w:tcPr>
            <w:tcW w:w="6147"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Description</w:t>
            </w:r>
          </w:p>
        </w:tc>
        <w:tc>
          <w:tcPr>
            <w:tcW w:w="60" w:type="dxa"/>
            <w:tcBorders/>
            <w:vAlign w:val="center"/>
          </w:tcPr>
          <w:p>
            <w:pPr>
              <w:pStyle w:val="TableContents"/>
              <w:bidi w:val="0"/>
              <w:spacing w:before="0" w:after="283"/>
              <w:jc w:val="left"/>
              <w:rPr/>
            </w:pPr>
            <w:r>
              <w:rPr/>
              <w:t> </w:t>
            </w:r>
          </w:p>
        </w:tc>
        <w:tc>
          <w:tcPr>
            <w:tcW w:w="70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Form</w:t>
            </w:r>
          </w:p>
        </w:tc>
        <w:tc>
          <w:tcPr>
            <w:tcW w:w="60" w:type="dxa"/>
            <w:tcBorders/>
            <w:vAlign w:val="center"/>
          </w:tcPr>
          <w:p>
            <w:pPr>
              <w:pStyle w:val="TableContents"/>
              <w:bidi w:val="0"/>
              <w:spacing w:before="0" w:after="283"/>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Exhibit</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Filing Date</w:t>
            </w:r>
          </w:p>
        </w:tc>
        <w:tc>
          <w:tcPr>
            <w:tcW w:w="60" w:type="dxa"/>
            <w:tcBorders/>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center"/>
              <w:rPr>
                <w:b/>
              </w:rPr>
            </w:pPr>
            <w:r>
              <w:rPr>
                <w:b/>
              </w:rPr>
              <w:t>File No.</w:t>
            </w:r>
          </w:p>
        </w:tc>
      </w:tr>
      <w:tr>
        <w:trPr/>
        <w:tc>
          <w:tcPr>
            <w:tcW w:w="785" w:type="dxa"/>
            <w:tcBorders/>
            <w:vAlign w:val="center"/>
          </w:tcPr>
          <w:p>
            <w:pPr>
              <w:pStyle w:val="TableContents"/>
              <w:bidi w:val="0"/>
              <w:spacing w:before="0" w:after="283"/>
              <w:jc w:val="center"/>
              <w:rPr/>
            </w:pPr>
            <w:hyperlink r:id="rId23">
              <w:r>
                <w:rPr>
                  <w:rStyle w:val="InternetLink"/>
                </w:rPr>
                <w:t>3.1</w:t>
              </w:r>
            </w:hyperlink>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pPr>
            <w:hyperlink r:id="rId24">
              <w:r>
                <w:rPr>
                  <w:rStyle w:val="InternetLink"/>
                </w:rPr>
                <w:t>Amended and Restated Certificate of Incorporation of Paramount Skydance Corporation</w:t>
              </w:r>
            </w:hyperlink>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hyperlink r:id="rId25">
              <w:r>
                <w:rPr>
                  <w:rStyle w:val="InternetLink"/>
                </w:rPr>
                <w:t>8-K12B</w:t>
              </w:r>
            </w:hyperlink>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hyperlink r:id="rId26">
              <w:r>
                <w:rPr>
                  <w:rStyle w:val="InternetLink"/>
                </w:rPr>
                <w:t>3.1</w:t>
              </w:r>
            </w:hyperlink>
          </w:p>
        </w:tc>
        <w:tc>
          <w:tcPr>
            <w:tcW w:w="60"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center"/>
              <w:rPr/>
            </w:pPr>
            <w:hyperlink r:id="rId27">
              <w:r>
                <w:rPr>
                  <w:rStyle w:val="InternetLink"/>
                </w:rPr>
                <w:t>8/7/25</w:t>
              </w:r>
            </w:hyperlink>
          </w:p>
        </w:tc>
        <w:tc>
          <w:tcPr>
            <w:tcW w:w="60" w:type="dxa"/>
            <w:tcBorders/>
            <w:vAlign w:val="center"/>
          </w:tcPr>
          <w:p>
            <w:pPr>
              <w:pStyle w:val="TableContents"/>
              <w:bidi w:val="0"/>
              <w:spacing w:before="0" w:after="283"/>
              <w:jc w:val="center"/>
              <w:rPr/>
            </w:pPr>
            <w:r>
              <w:rPr/>
              <w:t> </w:t>
            </w:r>
          </w:p>
        </w:tc>
        <w:tc>
          <w:tcPr>
            <w:tcW w:w="862" w:type="dxa"/>
            <w:tcBorders/>
            <w:vAlign w:val="center"/>
          </w:tcPr>
          <w:p>
            <w:pPr>
              <w:pStyle w:val="TableContents"/>
              <w:bidi w:val="0"/>
              <w:spacing w:before="0" w:after="283"/>
              <w:jc w:val="center"/>
              <w:rPr/>
            </w:pPr>
            <w:hyperlink r:id="rId28">
              <w:r>
                <w:rPr>
                  <w:rStyle w:val="InternetLink"/>
                </w:rPr>
                <w:t>001-42791</w:t>
              </w:r>
            </w:hyperlink>
          </w:p>
        </w:tc>
      </w:tr>
      <w:tr>
        <w:trPr/>
        <w:tc>
          <w:tcPr>
            <w:tcW w:w="785" w:type="dxa"/>
            <w:tcBorders/>
            <w:vAlign w:val="center"/>
          </w:tcPr>
          <w:p>
            <w:pPr>
              <w:pStyle w:val="TableContents"/>
              <w:bidi w:val="0"/>
              <w:spacing w:before="0" w:after="283"/>
              <w:jc w:val="center"/>
              <w:rPr/>
            </w:pPr>
            <w:hyperlink r:id="rId29">
              <w:r>
                <w:rPr>
                  <w:rStyle w:val="InternetLink"/>
                </w:rPr>
                <w:t>3.2</w:t>
              </w:r>
            </w:hyperlink>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pPr>
            <w:hyperlink r:id="rId30">
              <w:r>
                <w:rPr>
                  <w:rStyle w:val="InternetLink"/>
                  <w:sz w:val="20"/>
                </w:rPr>
                <w:t>Certificate of Amendment to the Amended and Restated Certificate of Incorporation of Paramount Skydance Corporation</w:t>
              </w:r>
            </w:hyperlink>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hyperlink r:id="rId31">
              <w:r>
                <w:rPr>
                  <w:rStyle w:val="InternetLink"/>
                  <w:sz w:val="20"/>
                </w:rPr>
                <w:t>8-K</w:t>
              </w:r>
            </w:hyperlink>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hyperlink r:id="rId32">
              <w:r>
                <w:rPr>
                  <w:rStyle w:val="InternetLink"/>
                  <w:sz w:val="20"/>
                </w:rPr>
                <w:t>3.1</w:t>
              </w:r>
            </w:hyperlink>
          </w:p>
        </w:tc>
        <w:tc>
          <w:tcPr>
            <w:tcW w:w="60"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center"/>
              <w:rPr/>
            </w:pPr>
            <w:hyperlink r:id="rId33">
              <w:r>
                <w:rPr>
                  <w:rStyle w:val="InternetLink"/>
                  <w:sz w:val="20"/>
                </w:rPr>
                <w:t>4/7/26</w:t>
              </w:r>
            </w:hyperlink>
          </w:p>
        </w:tc>
        <w:tc>
          <w:tcPr>
            <w:tcW w:w="60" w:type="dxa"/>
            <w:tcBorders/>
            <w:vAlign w:val="center"/>
          </w:tcPr>
          <w:p>
            <w:pPr>
              <w:pStyle w:val="TableContents"/>
              <w:bidi w:val="0"/>
              <w:spacing w:before="0" w:after="283"/>
              <w:jc w:val="center"/>
              <w:rPr/>
            </w:pPr>
            <w:r>
              <w:rPr/>
              <w:t> </w:t>
            </w:r>
          </w:p>
        </w:tc>
        <w:tc>
          <w:tcPr>
            <w:tcW w:w="862" w:type="dxa"/>
            <w:tcBorders/>
            <w:vAlign w:val="center"/>
          </w:tcPr>
          <w:p>
            <w:pPr>
              <w:pStyle w:val="TableContents"/>
              <w:bidi w:val="0"/>
              <w:spacing w:before="0" w:after="283"/>
              <w:jc w:val="center"/>
              <w:rPr/>
            </w:pPr>
            <w:hyperlink r:id="rId34">
              <w:r>
                <w:rPr>
                  <w:rStyle w:val="InternetLink"/>
                </w:rPr>
                <w:t>001-42791</w:t>
              </w:r>
            </w:hyperlink>
          </w:p>
        </w:tc>
      </w:tr>
      <w:tr>
        <w:trPr/>
        <w:tc>
          <w:tcPr>
            <w:tcW w:w="785" w:type="dxa"/>
            <w:tcBorders/>
            <w:vAlign w:val="center"/>
          </w:tcPr>
          <w:p>
            <w:pPr>
              <w:pStyle w:val="TableContents"/>
              <w:bidi w:val="0"/>
              <w:spacing w:before="0" w:after="283"/>
              <w:jc w:val="center"/>
              <w:rPr/>
            </w:pPr>
            <w:hyperlink r:id="rId35">
              <w:r>
                <w:rPr>
                  <w:rStyle w:val="InternetLink"/>
                </w:rPr>
                <w:t>3.3</w:t>
              </w:r>
            </w:hyperlink>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pPr>
            <w:hyperlink r:id="rId36">
              <w:r>
                <w:rPr>
                  <w:rStyle w:val="InternetLink"/>
                </w:rPr>
                <w:t>Amended and Restated Bylaws of Paramount Skydance Corporation</w:t>
              </w:r>
            </w:hyperlink>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hyperlink r:id="rId37">
              <w:r>
                <w:rPr>
                  <w:rStyle w:val="InternetLink"/>
                </w:rPr>
                <w:t>8-K12B</w:t>
              </w:r>
            </w:hyperlink>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hyperlink r:id="rId38">
              <w:r>
                <w:rPr>
                  <w:rStyle w:val="InternetLink"/>
                </w:rPr>
                <w:t>3.2</w:t>
              </w:r>
            </w:hyperlink>
          </w:p>
        </w:tc>
        <w:tc>
          <w:tcPr>
            <w:tcW w:w="60"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center"/>
              <w:rPr/>
            </w:pPr>
            <w:hyperlink r:id="rId39">
              <w:r>
                <w:rPr>
                  <w:rStyle w:val="InternetLink"/>
                </w:rPr>
                <w:t>8/7/25</w:t>
              </w:r>
            </w:hyperlink>
          </w:p>
        </w:tc>
        <w:tc>
          <w:tcPr>
            <w:tcW w:w="60" w:type="dxa"/>
            <w:tcBorders/>
            <w:vAlign w:val="center"/>
          </w:tcPr>
          <w:p>
            <w:pPr>
              <w:pStyle w:val="TableContents"/>
              <w:bidi w:val="0"/>
              <w:spacing w:before="0" w:after="283"/>
              <w:jc w:val="center"/>
              <w:rPr/>
            </w:pPr>
            <w:r>
              <w:rPr/>
              <w:t> </w:t>
            </w:r>
          </w:p>
        </w:tc>
        <w:tc>
          <w:tcPr>
            <w:tcW w:w="862" w:type="dxa"/>
            <w:tcBorders/>
            <w:vAlign w:val="center"/>
          </w:tcPr>
          <w:p>
            <w:pPr>
              <w:pStyle w:val="TableContents"/>
              <w:bidi w:val="0"/>
              <w:spacing w:before="0" w:after="283"/>
              <w:jc w:val="center"/>
              <w:rPr/>
            </w:pPr>
            <w:hyperlink r:id="rId40">
              <w:r>
                <w:rPr>
                  <w:rStyle w:val="InternetLink"/>
                </w:rPr>
                <w:t>001-42791</w:t>
              </w:r>
            </w:hyperlink>
          </w:p>
        </w:tc>
      </w:tr>
      <w:tr>
        <w:trPr/>
        <w:tc>
          <w:tcPr>
            <w:tcW w:w="785" w:type="dxa"/>
            <w:tcBorders/>
            <w:vAlign w:val="center"/>
          </w:tcPr>
          <w:p>
            <w:pPr>
              <w:pStyle w:val="TableContents"/>
              <w:bidi w:val="0"/>
              <w:spacing w:before="0" w:after="283"/>
              <w:jc w:val="center"/>
              <w:rPr/>
            </w:pPr>
            <w:hyperlink r:id="rId41">
              <w:r>
                <w:rPr>
                  <w:rStyle w:val="InternetLink"/>
                </w:rPr>
                <w:t>4.1#</w:t>
              </w:r>
            </w:hyperlink>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pPr>
            <w:hyperlink r:id="rId42">
              <w:r>
                <w:rPr>
                  <w:rStyle w:val="InternetLink"/>
                  <w:sz w:val="20"/>
                </w:rPr>
                <w:t>Paramount Skydance Corporation 2025 Incentive Award Plan</w:t>
              </w:r>
            </w:hyperlink>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hyperlink r:id="rId43">
              <w:r>
                <w:rPr>
                  <w:rStyle w:val="InternetLink"/>
                </w:rPr>
                <w:t>S-8</w:t>
              </w:r>
            </w:hyperlink>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hyperlink r:id="rId44">
              <w:r>
                <w:rPr>
                  <w:rStyle w:val="InternetLink"/>
                  <w:sz w:val="20"/>
                </w:rPr>
                <w:t>4.1</w:t>
              </w:r>
            </w:hyperlink>
          </w:p>
        </w:tc>
        <w:tc>
          <w:tcPr>
            <w:tcW w:w="60"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center"/>
              <w:rPr/>
            </w:pPr>
            <w:hyperlink r:id="rId45">
              <w:r>
                <w:rPr>
                  <w:rStyle w:val="InternetLink"/>
                  <w:sz w:val="20"/>
                </w:rPr>
                <w:t>8/7/25</w:t>
              </w:r>
            </w:hyperlink>
          </w:p>
        </w:tc>
        <w:tc>
          <w:tcPr>
            <w:tcW w:w="60" w:type="dxa"/>
            <w:tcBorders/>
            <w:vAlign w:val="center"/>
          </w:tcPr>
          <w:p>
            <w:pPr>
              <w:pStyle w:val="TableContents"/>
              <w:bidi w:val="0"/>
              <w:spacing w:before="0" w:after="283"/>
              <w:jc w:val="center"/>
              <w:rPr/>
            </w:pPr>
            <w:r>
              <w:rPr/>
              <w:t> </w:t>
            </w:r>
          </w:p>
        </w:tc>
        <w:tc>
          <w:tcPr>
            <w:tcW w:w="862" w:type="dxa"/>
            <w:tcBorders/>
            <w:vAlign w:val="center"/>
          </w:tcPr>
          <w:p>
            <w:pPr>
              <w:pStyle w:val="TableContents"/>
              <w:bidi w:val="0"/>
              <w:spacing w:before="0" w:after="283"/>
              <w:jc w:val="center"/>
              <w:rPr/>
            </w:pPr>
            <w:hyperlink r:id="rId46">
              <w:r>
                <w:rPr>
                  <w:rStyle w:val="InternetLink"/>
                </w:rPr>
                <w:t>001-42791</w:t>
              </w:r>
            </w:hyperlink>
          </w:p>
        </w:tc>
      </w:tr>
      <w:tr>
        <w:trPr/>
        <w:tc>
          <w:tcPr>
            <w:tcW w:w="785" w:type="dxa"/>
            <w:tcBorders/>
            <w:vAlign w:val="center"/>
          </w:tcPr>
          <w:p>
            <w:pPr>
              <w:pStyle w:val="TableContents"/>
              <w:bidi w:val="0"/>
              <w:spacing w:before="0" w:after="283"/>
              <w:jc w:val="center"/>
              <w:rPr/>
            </w:pPr>
            <w:hyperlink w:anchor="tm2626659d8_ex4-2.htm">
              <w:r>
                <w:rPr>
                  <w:rStyle w:val="InternetLink"/>
                </w:rPr>
                <w:t>4.2#*</w:t>
              </w:r>
            </w:hyperlink>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pPr>
            <w:hyperlink w:anchor="tm2626659d8_ex4-2.htm">
              <w:r>
                <w:rPr>
                  <w:rStyle w:val="InternetLink"/>
                  <w:sz w:val="20"/>
                </w:rPr>
                <w:t>First Amendment to the Paramount Skydance Corporation 2025 Incentive Award Plan</w:t>
              </w:r>
            </w:hyperlink>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hyperlink w:anchor="tm2626659d8_ex4-2.htm">
              <w:r>
                <w:rPr>
                  <w:rStyle w:val="InternetLink"/>
                  <w:sz w:val="20"/>
                </w:rPr>
                <w:t>-</w:t>
              </w:r>
            </w:hyperlink>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hyperlink w:anchor="tm2626659d8_ex4-2.htm">
              <w:r>
                <w:rPr>
                  <w:rStyle w:val="InternetLink"/>
                  <w:sz w:val="20"/>
                </w:rPr>
                <w:t>-</w:t>
              </w:r>
            </w:hyperlink>
          </w:p>
        </w:tc>
        <w:tc>
          <w:tcPr>
            <w:tcW w:w="60"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center"/>
              <w:rPr/>
            </w:pPr>
            <w:hyperlink w:anchor="tm2626659d8_ex4-2.htm">
              <w:r>
                <w:rPr>
                  <w:rStyle w:val="InternetLink"/>
                  <w:sz w:val="20"/>
                </w:rPr>
                <w:t>-</w:t>
              </w:r>
            </w:hyperlink>
          </w:p>
        </w:tc>
        <w:tc>
          <w:tcPr>
            <w:tcW w:w="60" w:type="dxa"/>
            <w:tcBorders/>
            <w:vAlign w:val="center"/>
          </w:tcPr>
          <w:p>
            <w:pPr>
              <w:pStyle w:val="TableContents"/>
              <w:bidi w:val="0"/>
              <w:spacing w:before="0" w:after="283"/>
              <w:jc w:val="center"/>
              <w:rPr/>
            </w:pPr>
            <w:r>
              <w:rPr/>
              <w:t> </w:t>
            </w:r>
          </w:p>
        </w:tc>
        <w:tc>
          <w:tcPr>
            <w:tcW w:w="862" w:type="dxa"/>
            <w:tcBorders/>
            <w:vAlign w:val="center"/>
          </w:tcPr>
          <w:p>
            <w:pPr>
              <w:pStyle w:val="TableContents"/>
              <w:bidi w:val="0"/>
              <w:spacing w:before="0" w:after="283"/>
              <w:jc w:val="center"/>
              <w:rPr/>
            </w:pPr>
            <w:r>
              <w:rPr/>
              <w:t> </w:t>
            </w:r>
          </w:p>
        </w:tc>
      </w:tr>
      <w:tr>
        <w:trPr/>
        <w:tc>
          <w:tcPr>
            <w:tcW w:w="785" w:type="dxa"/>
            <w:tcBorders/>
            <w:vAlign w:val="center"/>
          </w:tcPr>
          <w:p>
            <w:pPr>
              <w:pStyle w:val="TableContents"/>
              <w:bidi w:val="0"/>
              <w:spacing w:before="0" w:after="283"/>
              <w:jc w:val="center"/>
              <w:rPr/>
            </w:pPr>
            <w:hyperlink r:id="rId47">
              <w:r>
                <w:rPr>
                  <w:rStyle w:val="InternetLink"/>
                </w:rPr>
                <w:t>4.3#</w:t>
              </w:r>
            </w:hyperlink>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pPr>
            <w:hyperlink r:id="rId48">
              <w:r>
                <w:rPr>
                  <w:rStyle w:val="InternetLink"/>
                  <w:sz w:val="20"/>
                </w:rPr>
                <w:t>Warner Bros. Discovery, Inc. Non-Employee Directors Deferral Plan</w:t>
              </w:r>
            </w:hyperlink>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hyperlink r:id="rId49">
              <w:r>
                <w:rPr>
                  <w:rStyle w:val="InternetLink"/>
                  <w:sz w:val="20"/>
                </w:rPr>
                <w:t>S-8</w:t>
              </w:r>
            </w:hyperlink>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hyperlink r:id="rId50">
              <w:r>
                <w:rPr>
                  <w:rStyle w:val="InternetLink"/>
                  <w:sz w:val="20"/>
                </w:rPr>
                <w:t>10.1</w:t>
              </w:r>
            </w:hyperlink>
          </w:p>
        </w:tc>
        <w:tc>
          <w:tcPr>
            <w:tcW w:w="60"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center"/>
              <w:rPr/>
            </w:pPr>
            <w:hyperlink r:id="rId51">
              <w:r>
                <w:rPr>
                  <w:rStyle w:val="InternetLink"/>
                  <w:sz w:val="20"/>
                </w:rPr>
                <w:t>12/16/22</w:t>
              </w:r>
            </w:hyperlink>
          </w:p>
        </w:tc>
        <w:tc>
          <w:tcPr>
            <w:tcW w:w="60" w:type="dxa"/>
            <w:tcBorders/>
            <w:vAlign w:val="center"/>
          </w:tcPr>
          <w:p>
            <w:pPr>
              <w:pStyle w:val="TableContents"/>
              <w:bidi w:val="0"/>
              <w:spacing w:before="0" w:after="283"/>
              <w:jc w:val="center"/>
              <w:rPr/>
            </w:pPr>
            <w:r>
              <w:rPr/>
              <w:t> </w:t>
            </w:r>
          </w:p>
        </w:tc>
        <w:tc>
          <w:tcPr>
            <w:tcW w:w="862" w:type="dxa"/>
            <w:tcBorders/>
            <w:vAlign w:val="center"/>
          </w:tcPr>
          <w:p>
            <w:pPr>
              <w:pStyle w:val="TableContents"/>
              <w:bidi w:val="0"/>
              <w:spacing w:before="0" w:after="283"/>
              <w:jc w:val="center"/>
              <w:rPr/>
            </w:pPr>
            <w:hyperlink r:id="rId52">
              <w:r>
                <w:rPr>
                  <w:rStyle w:val="InternetLink"/>
                </w:rPr>
                <w:t>001-34177</w:t>
              </w:r>
            </w:hyperlink>
          </w:p>
        </w:tc>
      </w:tr>
      <w:tr>
        <w:trPr/>
        <w:tc>
          <w:tcPr>
            <w:tcW w:w="785" w:type="dxa"/>
            <w:tcBorders/>
            <w:vAlign w:val="center"/>
          </w:tcPr>
          <w:p>
            <w:pPr>
              <w:pStyle w:val="TableContents"/>
              <w:bidi w:val="0"/>
              <w:spacing w:before="0" w:after="283"/>
              <w:jc w:val="center"/>
              <w:rPr/>
            </w:pPr>
            <w:hyperlink r:id="rId53">
              <w:r>
                <w:rPr>
                  <w:rStyle w:val="InternetLink"/>
                </w:rPr>
                <w:t>4.4#</w:t>
              </w:r>
            </w:hyperlink>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pPr>
            <w:hyperlink r:id="rId54">
              <w:r>
                <w:rPr>
                  <w:rStyle w:val="InternetLink"/>
                </w:rPr>
                <w:t>Warner Bros. Discovery Supplemental Retirement Plan, as amended and restated as of January 1, 2023</w:t>
              </w:r>
            </w:hyperlink>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hyperlink r:id="rId55">
              <w:r>
                <w:rPr>
                  <w:rStyle w:val="InternetLink"/>
                </w:rPr>
                <w:t>10-K</w:t>
              </w:r>
            </w:hyperlink>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hyperlink r:id="rId56">
              <w:r>
                <w:rPr>
                  <w:rStyle w:val="InternetLink"/>
                </w:rPr>
                <w:t>10.21</w:t>
              </w:r>
            </w:hyperlink>
          </w:p>
        </w:tc>
        <w:tc>
          <w:tcPr>
            <w:tcW w:w="60"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center"/>
              <w:rPr/>
            </w:pPr>
            <w:hyperlink r:id="rId57">
              <w:r>
                <w:rPr>
                  <w:rStyle w:val="InternetLink"/>
                </w:rPr>
                <w:t>2/24/23</w:t>
              </w:r>
            </w:hyperlink>
          </w:p>
        </w:tc>
        <w:tc>
          <w:tcPr>
            <w:tcW w:w="60" w:type="dxa"/>
            <w:tcBorders/>
            <w:vAlign w:val="center"/>
          </w:tcPr>
          <w:p>
            <w:pPr>
              <w:pStyle w:val="TableContents"/>
              <w:bidi w:val="0"/>
              <w:spacing w:before="0" w:after="283"/>
              <w:jc w:val="center"/>
              <w:rPr/>
            </w:pPr>
            <w:r>
              <w:rPr/>
              <w:t> </w:t>
            </w:r>
          </w:p>
        </w:tc>
        <w:tc>
          <w:tcPr>
            <w:tcW w:w="862" w:type="dxa"/>
            <w:tcBorders/>
            <w:vAlign w:val="center"/>
          </w:tcPr>
          <w:p>
            <w:pPr>
              <w:pStyle w:val="TableContents"/>
              <w:bidi w:val="0"/>
              <w:spacing w:before="0" w:after="283"/>
              <w:jc w:val="center"/>
              <w:rPr/>
            </w:pPr>
            <w:hyperlink r:id="rId58">
              <w:r>
                <w:rPr>
                  <w:rStyle w:val="InternetLink"/>
                </w:rPr>
                <w:t>001-34177</w:t>
              </w:r>
            </w:hyperlink>
          </w:p>
        </w:tc>
      </w:tr>
      <w:tr>
        <w:trPr/>
        <w:tc>
          <w:tcPr>
            <w:tcW w:w="785" w:type="dxa"/>
            <w:tcBorders/>
            <w:vAlign w:val="center"/>
          </w:tcPr>
          <w:p>
            <w:pPr>
              <w:pStyle w:val="TableContents"/>
              <w:bidi w:val="0"/>
              <w:spacing w:before="0" w:after="283"/>
              <w:jc w:val="center"/>
              <w:rPr/>
            </w:pPr>
            <w:hyperlink w:anchor="tm2626659d8_ex5-1.htm">
              <w:r>
                <w:rPr>
                  <w:rStyle w:val="InternetLink"/>
                </w:rPr>
                <w:t>5.1*</w:t>
              </w:r>
            </w:hyperlink>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pPr>
            <w:hyperlink w:anchor="tm2626659d8_ex5-1.htm">
              <w:r>
                <w:rPr>
                  <w:rStyle w:val="InternetLink"/>
                  <w:sz w:val="20"/>
                </w:rPr>
                <w:t>Opinion of Latham &amp; Watkins LLP</w:t>
              </w:r>
            </w:hyperlink>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hyperlink w:anchor="tm2626659d8_ex23-1.htm">
              <w:r>
                <w:rPr>
                  <w:rStyle w:val="InternetLink"/>
                </w:rPr>
                <w:t>23.1*</w:t>
              </w:r>
            </w:hyperlink>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pPr>
            <w:hyperlink w:anchor="tm2626659d8_ex23-1.htm">
              <w:r>
                <w:rPr>
                  <w:rStyle w:val="InternetLink"/>
                  <w:sz w:val="20"/>
                </w:rPr>
                <w:t>Consents of PricewaterhouseCoopers LLP, Independent Registered Public Accounting Firm for Skydance Corporation</w:t>
              </w:r>
            </w:hyperlink>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hyperlink w:anchor="tm2626659d8_ex23-2.htm">
              <w:r>
                <w:rPr>
                  <w:rStyle w:val="InternetLink"/>
                </w:rPr>
                <w:t>23.2*</w:t>
              </w:r>
            </w:hyperlink>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pPr>
            <w:hyperlink w:anchor="tm2626659d8_ex23-2.htm">
              <w:r>
                <w:rPr>
                  <w:rStyle w:val="InternetLink"/>
                  <w:sz w:val="20"/>
                </w:rPr>
                <w:t>Consent of PricewaterhouseCoopers LLP, Independent Registered Public Accounting Firm for Warner Bros. Discovery, Inc.</w:t>
              </w:r>
            </w:hyperlink>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hyperlink w:anchor="tm2626659d8_ex5-1.htm">
              <w:r>
                <w:rPr>
                  <w:rStyle w:val="InternetLink"/>
                </w:rPr>
                <w:t>23.3*</w:t>
              </w:r>
            </w:hyperlink>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pPr>
            <w:hyperlink w:anchor="tm2626659d8_ex5-1.htm">
              <w:r>
                <w:rPr>
                  <w:rStyle w:val="InternetLink"/>
                  <w:sz w:val="20"/>
                </w:rPr>
                <w:t>Consent of Latham &amp; Watkins LLP (included in Exhibit 5.1)</w:t>
              </w:r>
            </w:hyperlink>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hyperlink w:anchor="sp_001">
              <w:r>
                <w:rPr>
                  <w:rStyle w:val="InternetLink"/>
                </w:rPr>
                <w:t>24.1*</w:t>
              </w:r>
            </w:hyperlink>
          </w:p>
        </w:tc>
        <w:tc>
          <w:tcPr>
            <w:tcW w:w="60" w:type="dxa"/>
            <w:tcBorders/>
            <w:vAlign w:val="center"/>
          </w:tcPr>
          <w:p>
            <w:pPr>
              <w:pStyle w:val="TableContents"/>
              <w:bidi w:val="0"/>
              <w:spacing w:before="0" w:after="283"/>
              <w:jc w:val="left"/>
              <w:rPr/>
            </w:pPr>
            <w:r>
              <w:rPr/>
              <w:t> </w:t>
            </w:r>
          </w:p>
        </w:tc>
        <w:tc>
          <w:tcPr>
            <w:tcW w:w="6147" w:type="dxa"/>
            <w:tcBorders/>
            <w:vAlign w:val="center"/>
          </w:tcPr>
          <w:p>
            <w:pPr>
              <w:pStyle w:val="TableContents"/>
              <w:bidi w:val="0"/>
              <w:spacing w:before="0" w:after="283"/>
              <w:jc w:val="left"/>
              <w:rPr/>
            </w:pPr>
            <w:hyperlink w:anchor="sp_001">
              <w:r>
                <w:rPr>
                  <w:rStyle w:val="InternetLink"/>
                  <w:sz w:val="20"/>
                </w:rPr>
                <w:t>Power of Attorney (included on signature page of this Registration Statement)</w:t>
              </w:r>
            </w:hyperlink>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t>107*</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47" w:type="dxa"/>
            <w:tcBorders>
              <w:bottom w:val="single" w:sz="8" w:space="0" w:color="000000"/>
            </w:tcBorders>
            <w:tcMar>
              <w:bottom w:w="28" w:type="dxa"/>
            </w:tcMar>
            <w:vAlign w:val="center"/>
          </w:tcPr>
          <w:p>
            <w:pPr>
              <w:pStyle w:val="TableContents"/>
              <w:bidi w:val="0"/>
              <w:spacing w:before="0" w:after="283"/>
              <w:jc w:val="left"/>
              <w:rPr>
                <w:sz w:val="20"/>
              </w:rPr>
            </w:pPr>
            <w:r>
              <w:rPr>
                <w:sz w:val="20"/>
              </w:rPr>
              <w:t>Filing Fee Table</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a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81"/>
        <w:gridCol w:w="9878"/>
      </w:tblGrid>
      <w:tr>
        <w:trPr/>
        <w:tc>
          <w:tcPr>
            <w:tcW w:w="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(i)</w:t>
            </w:r>
          </w:p>
        </w:tc>
        <w:tc>
          <w:tcPr>
            <w:tcW w:w="9878" w:type="dxa"/>
            <w:tcBorders/>
            <w:vAlign w:val="center"/>
          </w:tcPr>
          <w:p>
            <w:pPr>
              <w:pStyle w:val="TableContents"/>
              <w:bidi w:val="0"/>
              <w:spacing w:before="0" w:after="283"/>
              <w:jc w:val="left"/>
              <w:rPr/>
            </w:pPr>
            <w:r>
              <w:rPr/>
              <w:t>To include any prospectus required by Section 10(a)(3) of the Securities Act of 1933;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left"/>
              <w:rPr/>
            </w:pPr>
            <w:r>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or “Calculation of Registration Fee” table in the effective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7" w:type="dxa"/>
            <w:tcBorders/>
            <w:vAlign w:val="center"/>
          </w:tcPr>
          <w:p>
            <w:pPr>
              <w:pStyle w:val="TableContents"/>
              <w:bidi w:val="0"/>
              <w:spacing w:before="0" w:after="283"/>
              <w:jc w:val="left"/>
              <w:rPr/>
            </w:pPr>
            <w:r>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and (a)(1)(ii) of this section do not apply if this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left"/>
              <w:rPr/>
            </w:pPr>
            <w:r>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i/>
              </w:rPr>
              <w:t xml:space="preserve">bona fide </w:t>
            </w:r>
            <w:r>
              <w:rPr/>
              <w:t>offering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left"/>
              <w:rPr/>
            </w:pPr>
            <w:r>
              <w:rPr/>
              <w:t>To remove from registration by means of a post-effective amendment any of the securities being registered which remain unsold at the termination of the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the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October, 2026.</w:t>
      </w:r>
    </w:p>
    <w:p>
      <w:pPr>
        <w:pStyle w:val="TextBody"/>
        <w:bidi w:val="0"/>
        <w:spacing w:before="0" w:after="0"/>
        <w:ind w:left="0" w:right="0" w:firstLine="360"/>
        <w:jc w:val="left"/>
        <w:rPr>
          <w:caps w:val="false"/>
          <w:smallCaps w:val="false"/>
        </w:rPr>
      </w:pPr>
      <w:r>
        <w:rPr>
          <w:caps w:val="false"/>
          <w:smallCaps w:val="false"/>
        </w:rPr>
        <w:t>  </w:t>
      </w:r>
    </w:p>
    <w:tbl>
      <w:tblPr>
        <w:tblW w:w="5075" w:type="dxa"/>
        <w:jc w:val="left"/>
        <w:tblInd w:w="0" w:type="dxa"/>
        <w:tblLayout w:type="fixed"/>
        <w:tblCellMar>
          <w:top w:w="0" w:type="dxa"/>
          <w:left w:w="0" w:type="dxa"/>
          <w:bottom w:w="0" w:type="dxa"/>
          <w:right w:w="0" w:type="dxa"/>
        </w:tblCellMar>
      </w:tblPr>
      <w:tblGrid>
        <w:gridCol w:w="75"/>
        <w:gridCol w:w="5000"/>
      </w:tblGrid>
      <w:tr>
        <w:trPr/>
        <w:tc>
          <w:tcPr>
            <w:tcW w:w="75"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b/>
              </w:rPr>
            </w:pPr>
            <w:r>
              <w:rPr>
                <w:b/>
              </w:rPr>
              <w:t>PARAMOUNT SKYDANCE CORPORATION</w:t>
            </w:r>
          </w:p>
        </w:tc>
      </w:tr>
    </w:tbl>
    <w:tbl>
      <w:tblPr>
        <w:tblW w:w="3450" w:type="dxa"/>
        <w:jc w:val="left"/>
        <w:tblInd w:w="0" w:type="dxa"/>
        <w:tblLayout w:type="fixed"/>
        <w:tblCellMar>
          <w:top w:w="0" w:type="dxa"/>
          <w:left w:w="0" w:type="dxa"/>
          <w:bottom w:w="0" w:type="dxa"/>
          <w:right w:w="0" w:type="dxa"/>
        </w:tblCellMar>
      </w:tblPr>
      <w:tblGrid>
        <w:gridCol w:w="75"/>
        <w:gridCol w:w="365"/>
        <w:gridCol w:w="710"/>
        <w:gridCol w:w="230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10" w:type="dxa"/>
            <w:gridSpan w:val="2"/>
            <w:tcBorders>
              <w:bottom w:val="single" w:sz="8" w:space="0" w:color="000000"/>
            </w:tcBorders>
            <w:tcMar>
              <w:bottom w:w="28" w:type="dxa"/>
            </w:tcMar>
            <w:vAlign w:val="center"/>
          </w:tcPr>
          <w:p>
            <w:pPr>
              <w:pStyle w:val="TableContents"/>
              <w:bidi w:val="0"/>
              <w:spacing w:before="0" w:after="283"/>
              <w:jc w:val="left"/>
              <w:rPr/>
            </w:pPr>
            <w:r>
              <w:rPr/>
              <w:t>/s/ David Ellison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300" w:type="dxa"/>
            <w:tcBorders/>
            <w:vAlign w:val="center"/>
          </w:tcPr>
          <w:p>
            <w:pPr>
              <w:pStyle w:val="TableContents"/>
              <w:bidi w:val="0"/>
              <w:spacing w:before="0" w:after="283"/>
              <w:jc w:val="left"/>
              <w:rPr/>
            </w:pPr>
            <w:r>
              <w:rPr/>
              <w:t>David Ellison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360"/>
        <w:jc w:val="left"/>
        <w:rPr>
          <w:caps w:val="false"/>
          <w:smallCaps w:val="false"/>
        </w:rPr>
      </w:pPr>
      <w:r>
        <w:rPr>
          <w:caps w:val="false"/>
          <w:smallCaps w:val="false"/>
        </w:rPr>
        <w:t>  </w:t>
      </w:r>
    </w:p>
    <w:tbl>
      <w:tblPr>
        <w:tblW w:w="76" w:type="dxa"/>
        <w:jc w:val="left"/>
        <w:tblInd w:w="0" w:type="dxa"/>
        <w:tblLayout w:type="fixed"/>
        <w:tblCellMar>
          <w:top w:w="0" w:type="dxa"/>
          <w:left w:w="0" w:type="dxa"/>
          <w:bottom w:w="0" w:type="dxa"/>
          <w:right w:w="0" w:type="dxa"/>
        </w:tblCellMar>
      </w:tblPr>
      <w:tblGrid>
        <w:gridCol w:w="38"/>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p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Stephanie Kyoko McKinnon and David Ellison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U.S.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as of the dates indicated.</w:t>
      </w:r>
    </w:p>
    <w:p>
      <w:pPr>
        <w:pStyle w:val="TextBody"/>
        <w:bidi w:val="0"/>
        <w:spacing w:before="0" w:after="0"/>
        <w:ind w:left="0" w:right="0" w:firstLine="360"/>
        <w:jc w:val="both"/>
        <w:rPr>
          <w:caps w:val="false"/>
          <w:smallCaps w:val="false"/>
        </w:rPr>
      </w:pPr>
      <w:r>
        <w:rPr>
          <w:caps w:val="false"/>
          <w:smallCaps w:val="false"/>
        </w:rPr>
        <w:t>  </w:t>
      </w:r>
    </w:p>
    <w:tbl>
      <w:tblPr>
        <w:tblW w:w="9915" w:type="dxa"/>
        <w:jc w:val="left"/>
        <w:tblInd w:w="0" w:type="dxa"/>
        <w:tblLayout w:type="fixed"/>
        <w:tblCellMar>
          <w:top w:w="0" w:type="dxa"/>
          <w:left w:w="0" w:type="dxa"/>
          <w:bottom w:w="28" w:type="dxa"/>
          <w:right w:w="0" w:type="dxa"/>
        </w:tblCellMar>
      </w:tblPr>
      <w:tblGrid>
        <w:gridCol w:w="2780"/>
        <w:gridCol w:w="60"/>
        <w:gridCol w:w="5435"/>
        <w:gridCol w:w="60"/>
        <w:gridCol w:w="1580"/>
      </w:tblGrid>
      <w:tr>
        <w:trPr/>
        <w:tc>
          <w:tcPr>
            <w:tcW w:w="2780" w:type="dxa"/>
            <w:tcBorders>
              <w:bottom w:val="single" w:sz="8" w:space="0" w:color="000000"/>
            </w:tcBorders>
            <w:vAlign w:val="center"/>
          </w:tcPr>
          <w:p>
            <w:pPr>
              <w:pStyle w:val="TableContents"/>
              <w:bidi w:val="0"/>
              <w:spacing w:before="0" w:after="283"/>
              <w:jc w:val="center"/>
              <w:rPr/>
            </w:pPr>
            <w:r>
              <w:rPr>
                <w:b/>
              </w:rPr>
              <w:t>Signature</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5435"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8" w:space="0" w:color="000000"/>
            </w:tcBorders>
            <w:vAlign w:val="center"/>
          </w:tcPr>
          <w:p>
            <w:pPr>
              <w:pStyle w:val="TableContents"/>
              <w:bidi w:val="0"/>
              <w:spacing w:before="0" w:after="283"/>
              <w:jc w:val="center"/>
              <w:rPr>
                <w:b/>
              </w:rPr>
            </w:pPr>
            <w:r>
              <w:rPr>
                <w:b/>
              </w:rPr>
              <w:t>Date</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David Ellison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Chairman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780" w:type="dxa"/>
            <w:tcBorders/>
            <w:tcMar>
              <w:bottom w:w="0" w:type="dxa"/>
            </w:tcMar>
            <w:vAlign w:val="center"/>
          </w:tcPr>
          <w:p>
            <w:pPr>
              <w:pStyle w:val="TableContents"/>
              <w:bidi w:val="0"/>
              <w:spacing w:before="0" w:after="283"/>
              <w:jc w:val="center"/>
              <w:rPr/>
            </w:pPr>
            <w:r>
              <w:rPr/>
              <w:t>David Ellison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w:t>
            </w:r>
            <w:r>
              <w:rPr>
                <w:i/>
              </w:rPr>
              <w:t>Principal Executive Officer</w:t>
            </w:r>
            <w:r>
              <w:rPr/>
              <w:t>)</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Dennis Cinelli</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780" w:type="dxa"/>
            <w:tcBorders/>
            <w:tcMar>
              <w:bottom w:w="0" w:type="dxa"/>
            </w:tcMar>
            <w:vAlign w:val="center"/>
          </w:tcPr>
          <w:p>
            <w:pPr>
              <w:pStyle w:val="TableContents"/>
              <w:bidi w:val="0"/>
              <w:spacing w:before="0" w:after="283"/>
              <w:jc w:val="center"/>
              <w:rPr/>
            </w:pPr>
            <w:r>
              <w:rPr/>
              <w:t>Dennis Cinelli</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w:t>
            </w:r>
            <w:r>
              <w:rPr>
                <w:i/>
              </w:rPr>
              <w:t>Principal Financial Officer</w:t>
            </w:r>
            <w:r>
              <w:rPr/>
              <w:t>)</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Katherine M. Gill-Charest</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Controller and Chief Accounting Officer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780" w:type="dxa"/>
            <w:tcBorders/>
            <w:tcMar>
              <w:bottom w:w="0" w:type="dxa"/>
            </w:tcMar>
            <w:vAlign w:val="center"/>
          </w:tcPr>
          <w:p>
            <w:pPr>
              <w:pStyle w:val="TableContents"/>
              <w:bidi w:val="0"/>
              <w:spacing w:before="0" w:after="283"/>
              <w:jc w:val="center"/>
              <w:rPr/>
            </w:pPr>
            <w:r>
              <w:rPr/>
              <w:t>Katherine M. Gill-Charest</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w:t>
            </w:r>
            <w:r>
              <w:rPr>
                <w:i/>
              </w:rPr>
              <w:t>Principal Accounting Officer</w:t>
            </w:r>
            <w:r>
              <w:rPr/>
              <w:t>)</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Andrew Brandon-Gordon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780" w:type="dxa"/>
            <w:tcBorders/>
            <w:tcMar>
              <w:bottom w:w="0" w:type="dxa"/>
            </w:tcMar>
            <w:vAlign w:val="center"/>
          </w:tcPr>
          <w:p>
            <w:pPr>
              <w:pStyle w:val="TableContents"/>
              <w:bidi w:val="0"/>
              <w:spacing w:before="0" w:after="283"/>
              <w:jc w:val="center"/>
              <w:rPr/>
            </w:pPr>
            <w:r>
              <w:rPr/>
              <w:t>Andrew Brandon-Gordon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Barbara M. Byrne</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780" w:type="dxa"/>
            <w:tcBorders/>
            <w:tcMar>
              <w:bottom w:w="0" w:type="dxa"/>
            </w:tcMar>
            <w:vAlign w:val="center"/>
          </w:tcPr>
          <w:p>
            <w:pPr>
              <w:pStyle w:val="TableContents"/>
              <w:bidi w:val="0"/>
              <w:spacing w:before="0" w:after="283"/>
              <w:jc w:val="center"/>
              <w:rPr/>
            </w:pPr>
            <w:r>
              <w:rPr/>
              <w:t>Barbara M. Byrne</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Andrew Campion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780" w:type="dxa"/>
            <w:tcBorders/>
            <w:tcMar>
              <w:bottom w:w="0" w:type="dxa"/>
            </w:tcMar>
            <w:vAlign w:val="center"/>
          </w:tcPr>
          <w:p>
            <w:pPr>
              <w:pStyle w:val="TableContents"/>
              <w:bidi w:val="0"/>
              <w:spacing w:before="0" w:after="283"/>
              <w:jc w:val="center"/>
              <w:rPr/>
            </w:pPr>
            <w:r>
              <w:rPr/>
              <w:t>Andrew Campion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Gerald J. Cardinale</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780" w:type="dxa"/>
            <w:tcBorders/>
            <w:tcMar>
              <w:bottom w:w="0" w:type="dxa"/>
            </w:tcMar>
            <w:vAlign w:val="center"/>
          </w:tcPr>
          <w:p>
            <w:pPr>
              <w:pStyle w:val="TableContents"/>
              <w:bidi w:val="0"/>
              <w:spacing w:before="0" w:after="283"/>
              <w:jc w:val="center"/>
              <w:rPr/>
            </w:pPr>
            <w:r>
              <w:rPr/>
              <w:t>Gerald J. Cardinale</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Safra A. Catz</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780" w:type="dxa"/>
            <w:tcBorders/>
            <w:tcMar>
              <w:bottom w:w="0" w:type="dxa"/>
            </w:tcMar>
            <w:vAlign w:val="center"/>
          </w:tcPr>
          <w:p>
            <w:pPr>
              <w:pStyle w:val="TableContents"/>
              <w:bidi w:val="0"/>
              <w:spacing w:before="0" w:after="283"/>
              <w:jc w:val="center"/>
              <w:rPr/>
            </w:pPr>
            <w:r>
              <w:rPr/>
              <w:t>Safra A. Catz</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Justin G. Hamill</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780" w:type="dxa"/>
            <w:tcBorders/>
            <w:tcMar>
              <w:bottom w:w="0" w:type="dxa"/>
            </w:tcMar>
            <w:vAlign w:val="center"/>
          </w:tcPr>
          <w:p>
            <w:pPr>
              <w:pStyle w:val="TableContents"/>
              <w:bidi w:val="0"/>
              <w:spacing w:before="0" w:after="283"/>
              <w:jc w:val="center"/>
              <w:rPr/>
            </w:pPr>
            <w:r>
              <w:rPr/>
              <w:t>Justin G. Hamill</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Ynon Kreiz</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780" w:type="dxa"/>
            <w:tcBorders/>
            <w:tcMar>
              <w:bottom w:w="0" w:type="dxa"/>
            </w:tcMar>
            <w:vAlign w:val="center"/>
          </w:tcPr>
          <w:p>
            <w:pPr>
              <w:pStyle w:val="TableContents"/>
              <w:bidi w:val="0"/>
              <w:spacing w:before="0" w:after="283"/>
              <w:jc w:val="center"/>
              <w:rPr/>
            </w:pPr>
            <w:r>
              <w:rPr/>
              <w:t>Ynon Kreiz</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Sherry Lansing</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780" w:type="dxa"/>
            <w:tcBorders/>
            <w:tcMar>
              <w:bottom w:w="0" w:type="dxa"/>
            </w:tcMar>
            <w:vAlign w:val="center"/>
          </w:tcPr>
          <w:p>
            <w:pPr>
              <w:pStyle w:val="TableContents"/>
              <w:bidi w:val="0"/>
              <w:spacing w:before="0" w:after="283"/>
              <w:jc w:val="center"/>
              <w:rPr/>
            </w:pPr>
            <w:r>
              <w:rPr/>
              <w:t>Sherry Lansing</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Paul T. Marinelli</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780" w:type="dxa"/>
            <w:tcBorders/>
            <w:tcMar>
              <w:bottom w:w="0" w:type="dxa"/>
            </w:tcMar>
            <w:vAlign w:val="center"/>
          </w:tcPr>
          <w:p>
            <w:pPr>
              <w:pStyle w:val="TableContents"/>
              <w:bidi w:val="0"/>
              <w:spacing w:before="0" w:after="283"/>
              <w:jc w:val="center"/>
              <w:rPr/>
            </w:pPr>
            <w:r>
              <w:rPr/>
              <w:t>Paul T. Marinelli</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780" w:type="dxa"/>
            <w:tcBorders>
              <w:bottom w:val="single" w:sz="8" w:space="0" w:color="000000"/>
            </w:tcBorders>
            <w:vAlign w:val="center"/>
          </w:tcPr>
          <w:p>
            <w:pPr>
              <w:pStyle w:val="TableContents"/>
              <w:bidi w:val="0"/>
              <w:spacing w:before="0" w:after="283"/>
              <w:jc w:val="left"/>
              <w:rPr/>
            </w:pPr>
            <w:r>
              <w:rPr/>
              <w:t>/s/ John L. Thornton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780" w:type="dxa"/>
            <w:tcBorders/>
            <w:tcMar>
              <w:bottom w:w="0" w:type="dxa"/>
            </w:tcMar>
            <w:vAlign w:val="center"/>
          </w:tcPr>
          <w:p>
            <w:pPr>
              <w:pStyle w:val="TableContents"/>
              <w:bidi w:val="0"/>
              <w:spacing w:before="0" w:after="283"/>
              <w:jc w:val="center"/>
              <w:rPr/>
            </w:pPr>
            <w:r>
              <w:rPr/>
              <w:t>John L. Thornton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firstLine="360"/>
        <w:jc w:val="left"/>
        <w:rPr/>
      </w:pPr>
      <w:bookmarkStart w:id="3" w:name="tm2626659d8_ex4-2.htm"/>
      <w:bookmarkStart w:id="4" w:name="kstm2626659d8_ex42"/>
      <w:bookmarkEnd w:id="3"/>
      <w:bookmarkEnd w:id="4"/>
      <w:r>
        <w:rPr/>
        <w:t> </w:t>
      </w:r>
      <w:r>
        <w:br w:type="page"/>
      </w:r>
    </w:p>
    <w:p>
      <w:pPr>
        <w:pStyle w:val="TextBody"/>
        <w:bidi w:val="0"/>
        <w:jc w:val="right"/>
        <w:rPr>
          <w:b/>
        </w:rPr>
      </w:pPr>
      <w:r>
        <w:rPr>
          <w:b/>
        </w:rPr>
        <w:t>Exhibit 4.2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 2025 INCENTIVE AWARD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PARAMOUNT SKYDANCE CORPORATION 2025 INCENTIVE AWARD PLAN (this “</w:t>
      </w:r>
      <w:r>
        <w:rPr>
          <w:rFonts w:ascii="Times New Roman;Times;Serif" w:hAnsi="Times New Roman;Times;Serif"/>
          <w:b w:val="false"/>
          <w:i w:val="false"/>
          <w:caps w:val="false"/>
          <w:smallCaps w:val="false"/>
          <w:sz w:val="20"/>
          <w:u w:val="single"/>
        </w:rPr>
        <w:t>First Amendment</w:t>
      </w:r>
      <w:r>
        <w:rPr>
          <w:rFonts w:ascii="Times New Roman;Times;Serif" w:hAnsi="Times New Roman;Times;Serif"/>
          <w:b w:val="false"/>
          <w:i w:val="false"/>
          <w:caps w:val="false"/>
          <w:smallCaps w:val="false"/>
          <w:sz w:val="20"/>
        </w:rPr>
        <w:t>”) is made and adopted by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Paramount Skydance Corporation,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as of October 5, 2026. Capitalized terms used but not otherwise defined herein shall have the respective meanings ascribed to them in the Plan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maintains the Paramount Skydance Corporation 2025 Incentive Award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entered into that certain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dated as of February 27, 2026, by and among the Company, Warner Bros. Discovery, Inc. (“</w:t>
      </w:r>
      <w:r>
        <w:rPr>
          <w:rFonts w:ascii="Times New Roman;Times;Serif" w:hAnsi="Times New Roman;Times;Serif"/>
          <w:b w:val="false"/>
          <w:i w:val="false"/>
          <w:caps w:val="false"/>
          <w:smallCaps w:val="false"/>
          <w:sz w:val="20"/>
          <w:u w:val="single"/>
        </w:rPr>
        <w:t>WBD</w:t>
      </w:r>
      <w:r>
        <w:rPr>
          <w:rFonts w:ascii="Times New Roman;Times;Serif" w:hAnsi="Times New Roman;Times;Serif"/>
          <w:b w:val="false"/>
          <w:i w:val="false"/>
          <w:caps w:val="false"/>
          <w:smallCaps w:val="false"/>
          <w:sz w:val="20"/>
        </w:rPr>
        <w:t>”) and Prince Sub Inc.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pursuant to which the Company will acquire WBD by virtue of the merger of Merger Sub with and into WBD, with WBD surviving the merger as the surviving corporation (collectively,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on the terms and subject to the conditions set forth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WBD maintains the Amended and Restated Warner Bros. Discovery, Inc. Stock Incentive Plan (the “</w:t>
      </w:r>
      <w:r>
        <w:rPr>
          <w:rFonts w:ascii="Times New Roman;Times;Serif" w:hAnsi="Times New Roman;Times;Serif"/>
          <w:b w:val="false"/>
          <w:i w:val="false"/>
          <w:caps w:val="false"/>
          <w:smallCaps w:val="false"/>
          <w:sz w:val="20"/>
          <w:u w:val="single"/>
        </w:rPr>
        <w:t>WBD Stock Plan</w:t>
      </w:r>
      <w:r>
        <w:rPr>
          <w:rFonts w:ascii="Times New Roman;Times;Serif" w:hAnsi="Times New Roman;Times;Serif"/>
          <w:b w:val="false"/>
          <w:i w:val="false"/>
          <w:caps w:val="false"/>
          <w:smallCaps w:val="false"/>
          <w:sz w:val="20"/>
        </w:rPr>
        <w:t>”), which was previously adopted by the Board of Directors of WBD and approved by the stockholders of WBD;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4.4 of the Plan provides that in the event that a company acquired by the Company, or with which the Company combines, has equity securities available for grant under a pre-existing plan approved by equityholders and not adopted in contemplation of such acquisition or combination, the equity securities available for grant pursuant to the terms of such pre-existing plan (as adjusted, to the extent appropriate, using the exchange ratio or other adjustment or valuation ratio or formula used in such acquisition or combination to determine the consideration payable to the equityholders of the entities party to such acquisition or combination) may be used for Awards under the Plan and will not reduce the Shares authorized for grant under the Plan; provided that Awards using such available shares are not made after the date awards or grants could have been made under the terms of the pre-existing plan, absent the acquisition or combination, and will only be made to individuals who were not Service Providers prior to such acquisition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Section 10.4 of the Plan, the Board may amend the Plan at any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Transaction, the Company desires to amend the Plan as set forth herein to (i) provide that the shares available for issuance pursuant to the WBD Stock Plan (as adjusted by the equity award exchange ratio used in the Transaction) may be used for Awards and issued to certain Service Providers under the Plan following the Closing (as defined in the Merger Agreement) and shall not reduce the Shares authorized for issuance under the Plan to the extent permitted by the Plan, and (ii) amend the name of the Plan to reflect the change in the name of the Company from Paramount Skydance Corporation to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BE IT RESOLVED</w:t>
      </w:r>
      <w:r>
        <w:rPr>
          <w:rFonts w:ascii="Times New Roman;Times;Serif" w:hAnsi="Times New Roman;Times;Serif"/>
          <w:b w:val="false"/>
          <w:i w:val="false"/>
          <w:caps w:val="false"/>
          <w:smallCaps w:val="false"/>
          <w:sz w:val="20"/>
        </w:rPr>
        <w:t>, that the Plan is hereby amended as set forth herein, effective as of, and subject to and contingent upon the occurrence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Plan is hereby amended to change the name of the Plan to the Skydance Corporation 2025 Incentive Award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Section 11.13 of the Plan is hereby amended and restated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11.13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Skydance Corporation, a Delaware corporation, or any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following new Sections are hereby added to Article XI of the Plan, and each applicable subsequent section of the Plan (and all cross references thereto) shall be renumbered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11.26 “</w:t>
      </w:r>
      <w:r>
        <w:rPr>
          <w:rFonts w:ascii="Times New Roman;Times;Serif" w:hAnsi="Times New Roman;Times;Serif"/>
          <w:b w:val="false"/>
          <w:i w:val="false"/>
          <w:caps w:val="false"/>
          <w:smallCaps w:val="false"/>
          <w:sz w:val="20"/>
          <w:u w:val="single"/>
        </w:rPr>
        <w:t>Legacy WBD Participant</w:t>
      </w:r>
      <w:r>
        <w:rPr>
          <w:rFonts w:ascii="Times New Roman;Times;Serif" w:hAnsi="Times New Roman;Times;Serif"/>
          <w:b w:val="false"/>
          <w:i w:val="false"/>
          <w:caps w:val="false"/>
          <w:smallCaps w:val="false"/>
          <w:sz w:val="20"/>
        </w:rPr>
        <w:t>” means a Service Provider who provided services to WBD and/or its subsidiaries immediately prior to the WBD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11.27 “</w:t>
      </w:r>
      <w:r>
        <w:rPr>
          <w:rFonts w:ascii="Times New Roman;Times;Serif" w:hAnsi="Times New Roman;Times;Serif"/>
          <w:b w:val="false"/>
          <w:i w:val="false"/>
          <w:caps w:val="false"/>
          <w:smallCaps w:val="false"/>
          <w:sz w:val="20"/>
          <w:u w:val="single"/>
        </w:rPr>
        <w:t>New Company Participant</w:t>
      </w:r>
      <w:r>
        <w:rPr>
          <w:rFonts w:ascii="Times New Roman;Times;Serif" w:hAnsi="Times New Roman;Times;Serif"/>
          <w:b w:val="false"/>
          <w:i w:val="false"/>
          <w:caps w:val="false"/>
          <w:smallCaps w:val="false"/>
          <w:sz w:val="20"/>
        </w:rPr>
        <w:t>” means a Service Provider who first commenced providing services to the Company and/or any Subsidiary on or following the WBD Closing Date, other than any Legacy WBD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11.48 “</w:t>
      </w:r>
      <w:r>
        <w:rPr>
          <w:rFonts w:ascii="Times New Roman;Times;Serif" w:hAnsi="Times New Roman;Times;Serif"/>
          <w:b w:val="false"/>
          <w:i w:val="false"/>
          <w:caps w:val="false"/>
          <w:smallCaps w:val="false"/>
          <w:sz w:val="20"/>
          <w:u w:val="single"/>
        </w:rPr>
        <w:t>WBD</w:t>
      </w:r>
      <w:r>
        <w:rPr>
          <w:rFonts w:ascii="Times New Roman;Times;Serif" w:hAnsi="Times New Roman;Times;Serif"/>
          <w:b w:val="false"/>
          <w:i w:val="false"/>
          <w:caps w:val="false"/>
          <w:smallCaps w:val="false"/>
          <w:sz w:val="20"/>
        </w:rPr>
        <w:t>” means Warner Bros. Discovery,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11.49 “</w:t>
      </w:r>
      <w:r>
        <w:rPr>
          <w:rFonts w:ascii="Times New Roman;Times;Serif" w:hAnsi="Times New Roman;Times;Serif"/>
          <w:b w:val="false"/>
          <w:i w:val="false"/>
          <w:caps w:val="false"/>
          <w:smallCaps w:val="false"/>
          <w:sz w:val="20"/>
          <w:u w:val="single"/>
        </w:rPr>
        <w:t>WBD Closing Date</w:t>
      </w:r>
      <w:r>
        <w:rPr>
          <w:rFonts w:ascii="Times New Roman;Times;Serif" w:hAnsi="Times New Roman;Times;Serif"/>
          <w:b w:val="false"/>
          <w:i w:val="false"/>
          <w:caps w:val="false"/>
          <w:smallCaps w:val="false"/>
          <w:sz w:val="20"/>
        </w:rPr>
        <w:t>” means the “Closing Date” as set forth in the WBD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11.50 “</w:t>
      </w:r>
      <w:r>
        <w:rPr>
          <w:rFonts w:ascii="Times New Roman;Times;Serif" w:hAnsi="Times New Roman;Times;Serif"/>
          <w:b w:val="false"/>
          <w:i w:val="false"/>
          <w:caps w:val="false"/>
          <w:smallCaps w:val="false"/>
          <w:sz w:val="20"/>
          <w:u w:val="single"/>
        </w:rPr>
        <w:t>WBD Merger Agreement</w:t>
      </w:r>
      <w:r>
        <w:rPr>
          <w:rFonts w:ascii="Times New Roman;Times;Serif" w:hAnsi="Times New Roman;Times;Serif"/>
          <w:b w:val="false"/>
          <w:i w:val="false"/>
          <w:caps w:val="false"/>
          <w:smallCaps w:val="false"/>
          <w:sz w:val="20"/>
        </w:rPr>
        <w:t>” means that certain Agreement and Plan of Merger, dated as of February 27, 2026, by and among the Company, WBD and Prince Sub Inc., as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11.51 “</w:t>
      </w:r>
      <w:r>
        <w:rPr>
          <w:rFonts w:ascii="Times New Roman;Times;Serif" w:hAnsi="Times New Roman;Times;Serif"/>
          <w:b w:val="false"/>
          <w:i w:val="false"/>
          <w:caps w:val="false"/>
          <w:smallCaps w:val="false"/>
          <w:sz w:val="20"/>
          <w:u w:val="single"/>
        </w:rPr>
        <w:t>WBD Share Reserve</w:t>
      </w:r>
      <w:r>
        <w:rPr>
          <w:rFonts w:ascii="Times New Roman;Times;Serif" w:hAnsi="Times New Roman;Times;Serif"/>
          <w:b w:val="false"/>
          <w:i w:val="false"/>
          <w:caps w:val="false"/>
          <w:smallCaps w:val="false"/>
          <w:sz w:val="20"/>
        </w:rPr>
        <w:t>” means a number of Shares equal to the product of (i) the aggregate number of shares of common stock of WBD which, as of immediately prior to the closing of the Merger (as defined in the WBD Merger Agreement), remained available for issuance under the WBD Stock Plan, multiplied by (ii) the Equity Award Exchange Ratio (as defined in the WBD Merger Agreement), rounded down to the nearest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11.52 “</w:t>
      </w:r>
      <w:r>
        <w:rPr>
          <w:rFonts w:ascii="Times New Roman;Times;Serif" w:hAnsi="Times New Roman;Times;Serif"/>
          <w:b w:val="false"/>
          <w:i w:val="false"/>
          <w:caps w:val="false"/>
          <w:smallCaps w:val="false"/>
          <w:sz w:val="20"/>
          <w:u w:val="single"/>
        </w:rPr>
        <w:t>WBD Stock Plan</w:t>
      </w:r>
      <w:r>
        <w:rPr>
          <w:rFonts w:ascii="Times New Roman;Times;Serif" w:hAnsi="Times New Roman;Times;Serif"/>
          <w:b w:val="false"/>
          <w:i w:val="false"/>
          <w:caps w:val="false"/>
          <w:smallCaps w:val="false"/>
          <w:sz w:val="20"/>
        </w:rPr>
        <w:t>” means the Amended and Restated Warner Bros. Discovery, Inc.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following language is hereby added at the end of Section 4.4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Without limiting the generality of the foregoing, in connection with the Merger (as defined in the WBD Merger Agreement), the WBD Share Reserve may be used for Awards under the Plan and shall not reduce the Shares authorized for grant under the Plan, to the extent that grants of Awards using such Shares (i) are permitted without stockholder approval under the rules of The Nasdaq Stock Market LLC (or such other applicable principal securities exchange or quotation system on which the Common Stock is then listed), (ii) are made only to individuals who, on or after the WBD Closing Date, are Legacy WBD Participants or New Company Participants, and (iii) are only granted under the Plan during the period commencing on the WBD Closing Date and ending on June 3, 2034. The WBD Share Reserve shall be used for purposes of the Plan in accordance with this Section 4.4 and the applicable listing standards and rules issued by The Nasdaq Stock Market LLC, the New York Stock Exchange or such other applicable principal securities exchange or quotation system on which the Common Stock is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This First Amendment shall be and is hereby incorporated in and forms a part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Except as expressly provided herein, all terms and provisions of the Plan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 w:name="tm2626659d8_ex5-1.htm"/>
      <w:bookmarkStart w:id="6" w:name="kstm2626659d8_ex51"/>
      <w:bookmarkEnd w:id="5"/>
      <w:bookmarkEnd w:id="6"/>
      <w:r>
        <w:rPr>
          <w:b/>
        </w:rPr>
        <w:t>Exhibit 5.1</w:t>
      </w:r>
      <w:r>
        <w:br w:type="page"/>
      </w:r>
    </w:p>
    <w:p>
      <w:pPr>
        <w:pStyle w:val="TextBody"/>
        <w:bidi w:val="0"/>
        <w:spacing w:before="0" w:after="283"/>
        <w:jc w:val="left"/>
        <w:rPr/>
      </w:pPr>
      <w:r>
        <w:rPr/>
        <w:t> </w:t>
      </w:r>
    </w:p>
    <w:tbl>
      <w:tblPr>
        <w:tblW w:w="7399" w:type="dxa"/>
        <w:jc w:val="center"/>
        <w:tblInd w:w="0" w:type="dxa"/>
        <w:tblLayout w:type="fixed"/>
        <w:tblCellMar>
          <w:top w:w="0" w:type="dxa"/>
          <w:left w:w="0" w:type="dxa"/>
          <w:bottom w:w="0" w:type="dxa"/>
          <w:right w:w="0" w:type="dxa"/>
        </w:tblCellMar>
      </w:tblPr>
      <w:tblGrid>
        <w:gridCol w:w="4185"/>
        <w:gridCol w:w="60"/>
        <w:gridCol w:w="1255"/>
        <w:gridCol w:w="166"/>
        <w:gridCol w:w="1733"/>
      </w:tblGrid>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54" w:type="dxa"/>
            <w:gridSpan w:val="3"/>
            <w:tcBorders/>
            <w:vAlign w:val="center"/>
          </w:tcPr>
          <w:p>
            <w:pPr>
              <w:pStyle w:val="TableContents"/>
              <w:bidi w:val="0"/>
              <w:spacing w:before="0" w:after="0"/>
              <w:jc w:val="left"/>
              <w:rPr>
                <w:rFonts w:ascii="Times New Roman" w:hAnsi="Times New Roman"/>
                <w:sz w:val="16"/>
              </w:rPr>
            </w:pPr>
            <w:r>
              <w:rPr>
                <w:rFonts w:ascii="Times New Roman" w:hAnsi="Times New Roman"/>
                <w:sz w:val="16"/>
              </w:rPr>
              <w:t>1271 Avenue of the Americas</w:t>
            </w:r>
          </w:p>
          <w:p>
            <w:pPr>
              <w:pStyle w:val="TableContents"/>
              <w:bidi w:val="0"/>
              <w:spacing w:before="0" w:after="0"/>
              <w:jc w:val="left"/>
              <w:rPr>
                <w:rFonts w:ascii="Times New Roman" w:hAnsi="Times New Roman"/>
                <w:sz w:val="16"/>
              </w:rPr>
            </w:pPr>
            <w:r>
              <w:rPr>
                <w:rFonts w:ascii="Times New Roman" w:hAnsi="Times New Roman"/>
                <w:sz w:val="16"/>
              </w:rPr>
              <w:t>New York, New York 10020-1401</w:t>
            </w:r>
          </w:p>
          <w:p>
            <w:pPr>
              <w:pStyle w:val="TableContents"/>
              <w:bidi w:val="0"/>
              <w:spacing w:before="0" w:after="0"/>
              <w:jc w:val="left"/>
              <w:rPr>
                <w:rFonts w:ascii="Times New Roman" w:hAnsi="Times New Roman"/>
                <w:sz w:val="16"/>
              </w:rPr>
            </w:pPr>
            <w:r>
              <w:rPr>
                <w:rFonts w:ascii="Times New Roman" w:hAnsi="Times New Roman"/>
                <w:sz w:val="16"/>
              </w:rPr>
              <w:t>Tel: +1.212.906.1200 Fax: +1.212.751.4864</w:t>
            </w:r>
          </w:p>
          <w:p>
            <w:pPr>
              <w:pStyle w:val="TableContents"/>
              <w:bidi w:val="0"/>
              <w:spacing w:before="0" w:after="20"/>
              <w:jc w:val="left"/>
              <w:rPr>
                <w:rFonts w:ascii="Times New Roman" w:hAnsi="Times New Roman"/>
                <w:sz w:val="16"/>
              </w:rPr>
            </w:pPr>
            <w:r>
              <w:rPr>
                <w:rFonts w:ascii="Times New Roman" w:hAnsi="Times New Roman"/>
                <w:sz w:val="16"/>
              </w:rPr>
              <w:t>www.lw.com</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3214" w:type="dxa"/>
            <w:gridSpan w:val="4"/>
            <w:tcBorders/>
            <w:vAlign w:val="center"/>
          </w:tcPr>
          <w:p>
            <w:pPr>
              <w:pStyle w:val="TableContents"/>
              <w:bidi w:val="0"/>
              <w:spacing w:before="0" w:after="283"/>
              <w:jc w:val="left"/>
              <w:rPr>
                <w:sz w:val="4"/>
                <w:szCs w:val="4"/>
              </w:rPr>
            </w:pPr>
            <w:r>
              <w:rPr>
                <w:sz w:val="4"/>
                <w:szCs w:val="4"/>
              </w:rPr>
            </w:r>
          </w:p>
        </w:tc>
      </w:tr>
      <w:tr>
        <w:trPr/>
        <w:tc>
          <w:tcPr>
            <w:tcW w:w="4185" w:type="dxa"/>
            <w:vMerge w:val="restart"/>
            <w:tcBorders/>
            <w:vAlign w:val="center"/>
          </w:tcPr>
          <w:p>
            <w:pPr>
              <w:pStyle w:val="TableContents"/>
              <w:bidi w:val="0"/>
              <w:spacing w:before="0" w:after="283"/>
              <w:jc w:val="left"/>
              <w:rPr/>
            </w:pPr>
            <w:r>
              <w:rPr/>
              <w:drawing>
                <wp:inline distT="0" distB="0" distL="0" distR="0">
                  <wp:extent cx="2657475" cy="180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9"/>
                          <a:stretch>
                            <a:fillRect/>
                          </a:stretch>
                        </pic:blipFill>
                        <pic:spPr bwMode="auto">
                          <a:xfrm>
                            <a:off x="0" y="0"/>
                            <a:ext cx="2657475" cy="1809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154" w:type="dxa"/>
            <w:gridSpan w:val="3"/>
            <w:tcBorders/>
            <w:vAlign w:val="center"/>
          </w:tcPr>
          <w:p>
            <w:pPr>
              <w:pStyle w:val="TableContents"/>
              <w:bidi w:val="0"/>
              <w:spacing w:before="0" w:after="283"/>
              <w:jc w:val="left"/>
              <w:rPr>
                <w:sz w:val="16"/>
              </w:rPr>
            </w:pPr>
            <w:r>
              <w:rPr>
                <w:sz w:val="16"/>
              </w:rPr>
              <w:t>FIRM / AFFILIATE OFFICES</w:t>
            </w:r>
          </w:p>
        </w:tc>
      </w:tr>
      <w:tr>
        <w:trPr/>
        <w:tc>
          <w:tcPr>
            <w:tcW w:w="41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Austin</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Milan</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Beijing</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Munich</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Boston</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New York</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Brussels</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Orange County</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Century City</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Paris</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Chicago</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Riyadh</w:t>
            </w:r>
          </w:p>
        </w:tc>
      </w:tr>
      <w:tr>
        <w:trPr/>
        <w:tc>
          <w:tcPr>
            <w:tcW w:w="4185" w:type="dxa"/>
            <w:tcBorders/>
            <w:vAlign w:val="center"/>
          </w:tcPr>
          <w:p>
            <w:pPr>
              <w:pStyle w:val="TableContents"/>
              <w:bidi w:val="0"/>
              <w:spacing w:before="0" w:after="283"/>
              <w:jc w:val="left"/>
              <w:rPr/>
            </w:pPr>
            <w:r>
              <w:rPr/>
              <w:t>October 6, 2026</w:t>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Dubai</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San Diego</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Düsseldorf</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San Francisco</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Frankfurt</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Seoul</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Hamburg</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Silicon Valley</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Hong Kong</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Singapore</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Houston</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Tel Aviv</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London</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Tokyo</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Los Angeles</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16"/>
              </w:rPr>
            </w:pPr>
            <w:r>
              <w:rPr>
                <w:sz w:val="16"/>
              </w:rPr>
              <w:t>Washington, D.C.</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sz w:val="16"/>
              </w:rPr>
            </w:pPr>
            <w:r>
              <w:rPr>
                <w:sz w:val="16"/>
              </w:rPr>
              <w:t>Madrid</w:t>
            </w:r>
          </w:p>
        </w:tc>
        <w:tc>
          <w:tcPr>
            <w:tcW w:w="166"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 Broadway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35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6875" w:type="dxa"/>
            <w:tcBorders/>
            <w:vAlign w:val="center"/>
          </w:tcPr>
          <w:p>
            <w:pPr>
              <w:pStyle w:val="TableContents"/>
              <w:bidi w:val="0"/>
              <w:spacing w:before="0" w:after="283"/>
              <w:jc w:val="both"/>
              <w:rPr>
                <w:u w:val="single"/>
              </w:rPr>
            </w:pPr>
            <w:r>
              <w:rPr>
                <w:u w:val="single"/>
              </w:rPr>
              <w:t>Paramount Skydance Corporation – Registration Statement on Form S-8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Paramount Skydance Corporation, a Delaware corporation (“</w:t>
      </w:r>
      <w:r>
        <w:rPr>
          <w:rFonts w:ascii="Times New Roman;Times;Serif" w:hAnsi="Times New Roman;Times;Serif"/>
          <w:b/>
          <w:i/>
          <w:caps w:val="false"/>
          <w:smallCaps w:val="false"/>
          <w:sz w:val="20"/>
        </w:rPr>
        <w:t>Paramount Skydance</w:t>
      </w:r>
      <w:r>
        <w:rPr>
          <w:rFonts w:ascii="Times New Roman;Times;Serif" w:hAnsi="Times New Roman;Times;Serif"/>
          <w:b w:val="false"/>
          <w:i w:val="false"/>
          <w:caps w:val="false"/>
          <w:smallCaps w:val="false"/>
          <w:sz w:val="20"/>
        </w:rPr>
        <w:t>”), in connection with the preparation and filing by Paramount Skydance on the date hereof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of a Registration Statement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on Form S-8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relating to the Paramount Skydance Corporation 2025 Incentive Award Plan, as amended (the “</w:t>
      </w:r>
      <w:r>
        <w:rPr>
          <w:rFonts w:ascii="Times New Roman;Times;Serif" w:hAnsi="Times New Roman;Times;Serif"/>
          <w:b/>
          <w:i/>
          <w:caps w:val="false"/>
          <w:smallCaps w:val="false"/>
          <w:sz w:val="20"/>
        </w:rPr>
        <w:t>2025 Plan</w:t>
      </w:r>
      <w:r>
        <w:rPr>
          <w:rFonts w:ascii="Times New Roman;Times;Serif" w:hAnsi="Times New Roman;Times;Serif"/>
          <w:b w:val="false"/>
          <w:i w:val="false"/>
          <w:caps w:val="false"/>
          <w:smallCaps w:val="false"/>
          <w:sz w:val="20"/>
        </w:rPr>
        <w:t>”), the Warner Bros. Discovery, Inc. Non-Employee Directors Deferral Plan (the “</w:t>
      </w:r>
      <w:r>
        <w:rPr>
          <w:rFonts w:ascii="Times New Roman;Times;Serif" w:hAnsi="Times New Roman;Times;Serif"/>
          <w:b/>
          <w:i/>
          <w:caps w:val="false"/>
          <w:smallCaps w:val="false"/>
          <w:sz w:val="20"/>
        </w:rPr>
        <w:t>WBD Director Deferred Compensation Plan</w:t>
      </w:r>
      <w:r>
        <w:rPr>
          <w:rFonts w:ascii="Times New Roman;Times;Serif" w:hAnsi="Times New Roman;Times;Serif"/>
          <w:b w:val="false"/>
          <w:i w:val="false"/>
          <w:caps w:val="false"/>
          <w:smallCaps w:val="false"/>
          <w:sz w:val="20"/>
        </w:rPr>
        <w:t>”) and the Warner Bros. Discovery Supplemental Retirement Plan (the “</w:t>
      </w:r>
      <w:r>
        <w:rPr>
          <w:rFonts w:ascii="Times New Roman;Times;Serif" w:hAnsi="Times New Roman;Times;Serif"/>
          <w:b/>
          <w:i/>
          <w:caps w:val="false"/>
          <w:smallCaps w:val="false"/>
          <w:sz w:val="20"/>
        </w:rPr>
        <w:t>WBD Employee Deferred Compensation Plan</w:t>
      </w:r>
      <w:r>
        <w:rPr>
          <w:rFonts w:ascii="Times New Roman;Times;Serif" w:hAnsi="Times New Roman;Times;Serif"/>
          <w:b w:val="false"/>
          <w:i w:val="false"/>
          <w:caps w:val="false"/>
          <w:smallCaps w:val="false"/>
          <w:sz w:val="20"/>
        </w:rPr>
        <w:t>” and, together with the 2025 Plan and the WBD Director Deferred Compensation Plan, the “</w:t>
      </w:r>
      <w:r>
        <w:rPr>
          <w:rFonts w:ascii="Times New Roman;Times;Serif" w:hAnsi="Times New Roman;Times;Serif"/>
          <w:b/>
          <w:i/>
          <w:caps w:val="false"/>
          <w:smallCaps w:val="false"/>
          <w:sz w:val="20"/>
        </w:rPr>
        <w:t>Plans</w:t>
      </w:r>
      <w:r>
        <w:rPr>
          <w:rFonts w:ascii="Times New Roman;Times;Serif" w:hAnsi="Times New Roman;Times;Serif"/>
          <w:b w:val="false"/>
          <w:i w:val="false"/>
          <w:caps w:val="false"/>
          <w:smallCaps w:val="false"/>
          <w:sz w:val="20"/>
        </w:rPr>
        <w:t>”), and the issuance of up to 308,583,016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Class B common stock, par value $0.001 per share, of Paramount Skydance, which may be issued pursuant thereto. This opinion is being furnished in connection with the requirements of Item 601(b)(5) of Regulation S-K under the Act, and no opinion is expressed herein as to any matter pertaining to the contents of the Registration Statement or the prospectus forming a part thereof, other than as expressly stated herein with respect to the issuance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Paramount Skydance and others as to factual matters without having independently verified such factual matters. We are opining herein as to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we express no opinion with respect to any other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 when the Shares shall have been duly registered on the books of the transfer agent and registrar therefor in the name or on behalf of the recipients thereof, and have been issued by Paramount Skydance for legal consideration in excess of par value in the circumstances contemplated by the Plans, assuming in each case that the individual issuances, grants or awards under the Plans are duly authorized by all necessary corporate action of Paramount Skydance and duly issued, granted or awarded and exercised in accordance with the requirements of law and the Plans (and the agreements and awards duly adopted thereunder and in accordance therewith), the issue and sale of the Shares will have been duly authorized by all necessary corporate action of Paramount Skydance, and the Shares will be validly issued, fully paid and nonassessable. In rendering the foregoing opinion, we have assumed that Paramount Skydance will comply with all applicable notice requirements regarding uncertificated shares provided in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October 6, 2026</w:t>
      </w:r>
    </w:p>
    <w:p>
      <w:pPr>
        <w:pStyle w:val="TextBody"/>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w:rPr>
          <w:caps w:val="false"/>
          <w:smallCaps w:val="false"/>
        </w:rPr>
        <w:drawing>
          <wp:inline distT="0" distB="0" distL="0" distR="0">
            <wp:extent cx="1562100" cy="95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0"/>
                    <a:stretch>
                      <a:fillRect/>
                    </a:stretch>
                  </pic:blipFill>
                  <pic:spPr bwMode="auto">
                    <a:xfrm>
                      <a:off x="0" y="0"/>
                      <a:ext cx="1562100" cy="952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Sincerely,</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/s/ Latham &amp; Watkins LLP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jc w:val="right"/>
        <w:rPr>
          <w:b/>
        </w:rPr>
      </w:pPr>
      <w:bookmarkStart w:id="7" w:name="tm2626659d8_ex23-1.htm"/>
      <w:bookmarkStart w:id="8" w:name="kstm2626659d8_ex231"/>
      <w:bookmarkEnd w:id="7"/>
      <w:bookmarkEnd w:id="8"/>
      <w:r>
        <w:rPr>
          <w:b/>
        </w:rPr>
        <w:t>Exhibit 23.1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Paramount Skydance Corporation of our report dated February 25, 2026, except with respect to our opinion on the consolidated financial statements insofar as it relates to the change in composition of reportable segments discussed in Note 1, as to which the date is May 13, 2026, relating to the financial statements, financial statement schedule and the effectiveness of internal control over financial reporting of Paramount Skydance Corporation, which appears in Paramount Skydance Corporation’s Current Report on Form 8-K dated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New York, New York</w:t>
        <w:br/>
        <w:t>October 6, 2026</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Paramount Skydance Corporation of our report dated February 25, 2026 relating to the financial statements and financial statement schedule of Paramount Global, which appears in Paramount Skydance Corporation’s Current Report on Form 8-K dated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New York, New York</w:t>
        <w:br/>
        <w:t>October 6,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r>
        <w:rPr/>
        <w:t> </w:t>
      </w:r>
    </w:p>
    <w:p>
      <w:pPr>
        <w:pStyle w:val="TextBody"/>
        <w:bidi w:val="0"/>
        <w:jc w:val="right"/>
        <w:rPr>
          <w:b/>
        </w:rPr>
      </w:pPr>
      <w:bookmarkStart w:id="9" w:name="tm2626659d8_ex23-2.htm"/>
      <w:bookmarkStart w:id="10" w:name="kstm2626659d8_ex232"/>
      <w:bookmarkEnd w:id="9"/>
      <w:bookmarkEnd w:id="10"/>
      <w:r>
        <w:rPr>
          <w:b/>
        </w:rPr>
        <w:t>Exhibit 23.2</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Paramount Skydance Corporation of our report dated February 27, 2026 relating to the financial statements, financial statement schedule and the effectiveness of internal control over financial reporting, which appears in Warner Bros. Discovery,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Washington, District of Columbia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bidi w:val="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Normal"/>
        <w:bidi w:val="0"/>
        <w:spacing w:before="0" w:after="0"/>
        <w:jc w:val="left"/>
        <w:rPr>
          <w:sz w:val="4"/>
          <w:szCs w:val="4"/>
        </w:rPr>
      </w:pPr>
      <w:r>
        <w:rPr>
          <w:sz w:val="4"/>
          <w:szCs w:val="4"/>
        </w:rPr>
      </w:r>
      <w:bookmarkStart w:id="11" w:name="tm2626659d8_ex-filingfees.htm"/>
      <w:bookmarkStart w:id="12" w:name="kstm2626659d8_exfilingfees"/>
      <w:bookmarkStart w:id="13" w:name="tm2626659d8_ex-filingfees.htm"/>
      <w:bookmarkStart w:id="14" w:name="kstm2626659d8_exfilingfees"/>
      <w:bookmarkEnd w:id="13"/>
      <w:bookmarkEnd w:id="14"/>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Paramount Skydance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779" w:type="dxa"/>
        <w:jc w:val="left"/>
        <w:tblInd w:w="0" w:type="dxa"/>
        <w:tblLayout w:type="fixed"/>
        <w:tblCellMar>
          <w:top w:w="28" w:type="dxa"/>
          <w:left w:w="28" w:type="dxa"/>
          <w:bottom w:w="28" w:type="dxa"/>
          <w:right w:w="28" w:type="dxa"/>
        </w:tblCellMar>
      </w:tblPr>
      <w:tblGrid>
        <w:gridCol w:w="241"/>
        <w:gridCol w:w="946"/>
        <w:gridCol w:w="1471"/>
        <w:gridCol w:w="1276"/>
        <w:gridCol w:w="1306"/>
        <w:gridCol w:w="1156"/>
        <w:gridCol w:w="1966"/>
        <w:gridCol w:w="1006"/>
        <w:gridCol w:w="1411"/>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4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471" w:type="dxa"/>
            <w:tcBorders/>
            <w:shd w:fill="E7E7E2" w:val="clear"/>
            <w:vAlign w:val="center"/>
          </w:tcPr>
          <w:p>
            <w:pPr>
              <w:pStyle w:val="TableContents"/>
              <w:bidi w:val="0"/>
              <w:spacing w:before="0" w:after="283"/>
              <w:jc w:val="left"/>
              <w:rPr/>
            </w:pPr>
            <w:r>
              <w:rPr/>
              <w:t xml:space="preserve">Class B common stock, par value $0.001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306" w:type="dxa"/>
            <w:tcBorders/>
            <w:shd w:fill="E7E7E2" w:val="clear"/>
            <w:vAlign w:val="center"/>
          </w:tcPr>
          <w:p>
            <w:pPr>
              <w:pStyle w:val="TableContents"/>
              <w:bidi w:val="0"/>
              <w:spacing w:before="0" w:after="283"/>
              <w:jc w:val="right"/>
              <w:rPr/>
            </w:pPr>
            <w:r>
              <w:rPr/>
              <w:t xml:space="preserve">308,538,876 </w:t>
            </w:r>
          </w:p>
        </w:tc>
        <w:tc>
          <w:tcPr>
            <w:tcW w:w="1156" w:type="dxa"/>
            <w:tcBorders/>
            <w:shd w:fill="E7E7E2" w:val="clear"/>
            <w:vAlign w:val="center"/>
          </w:tcPr>
          <w:p>
            <w:pPr>
              <w:pStyle w:val="TableContents"/>
              <w:bidi w:val="0"/>
              <w:spacing w:before="0" w:after="283"/>
              <w:jc w:val="right"/>
              <w:rPr/>
            </w:pPr>
            <w:r>
              <w:rPr/>
              <w:t xml:space="preserve">$ 9.32 </w:t>
            </w:r>
          </w:p>
        </w:tc>
        <w:tc>
          <w:tcPr>
            <w:tcW w:w="1966" w:type="dxa"/>
            <w:tcBorders/>
            <w:shd w:fill="E7E7E2" w:val="clear"/>
            <w:vAlign w:val="center"/>
          </w:tcPr>
          <w:p>
            <w:pPr>
              <w:pStyle w:val="TableContents"/>
              <w:bidi w:val="0"/>
              <w:spacing w:before="0" w:after="283"/>
              <w:jc w:val="right"/>
              <w:rPr/>
            </w:pPr>
            <w:r>
              <w:rPr/>
              <w:t xml:space="preserve">$ 2,875,582,324.32 </w:t>
            </w:r>
          </w:p>
        </w:tc>
        <w:tc>
          <w:tcPr>
            <w:tcW w:w="1006" w:type="dxa"/>
            <w:tcBorders/>
            <w:shd w:fill="E7E7E2" w:val="clear"/>
            <w:vAlign w:val="center"/>
          </w:tcPr>
          <w:p>
            <w:pPr>
              <w:pStyle w:val="TableContents"/>
              <w:bidi w:val="0"/>
              <w:spacing w:before="0" w:after="283"/>
              <w:jc w:val="right"/>
              <w:rPr/>
            </w:pPr>
            <w:r>
              <w:rPr/>
              <w:t xml:space="preserve">0.000087 </w:t>
            </w:r>
          </w:p>
        </w:tc>
        <w:tc>
          <w:tcPr>
            <w:tcW w:w="1411" w:type="dxa"/>
            <w:tcBorders/>
            <w:shd w:fill="E7E7E2" w:val="clear"/>
            <w:vAlign w:val="center"/>
          </w:tcPr>
          <w:p>
            <w:pPr>
              <w:pStyle w:val="TableContents"/>
              <w:bidi w:val="0"/>
              <w:spacing w:before="0" w:after="283"/>
              <w:jc w:val="right"/>
              <w:rPr/>
            </w:pPr>
            <w:r>
              <w:rPr/>
              <w:t xml:space="preserve">$ 250,175.66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471" w:type="dxa"/>
            <w:tcBorders/>
            <w:shd w:fill="E7E7E2" w:val="clear"/>
            <w:vAlign w:val="center"/>
          </w:tcPr>
          <w:p>
            <w:pPr>
              <w:pStyle w:val="TableContents"/>
              <w:bidi w:val="0"/>
              <w:spacing w:before="0" w:after="283"/>
              <w:jc w:val="left"/>
              <w:rPr/>
            </w:pPr>
            <w:r>
              <w:rPr/>
              <w:t xml:space="preserve">Class B common stock, par value $0.001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306" w:type="dxa"/>
            <w:tcBorders/>
            <w:shd w:fill="E7E7E2" w:val="clear"/>
            <w:vAlign w:val="center"/>
          </w:tcPr>
          <w:p>
            <w:pPr>
              <w:pStyle w:val="TableContents"/>
              <w:bidi w:val="0"/>
              <w:spacing w:before="0" w:after="283"/>
              <w:jc w:val="right"/>
              <w:rPr/>
            </w:pPr>
            <w:r>
              <w:rPr/>
              <w:t xml:space="preserve">44,140 </w:t>
            </w:r>
          </w:p>
        </w:tc>
        <w:tc>
          <w:tcPr>
            <w:tcW w:w="1156" w:type="dxa"/>
            <w:tcBorders/>
            <w:shd w:fill="E7E7E2" w:val="clear"/>
            <w:vAlign w:val="center"/>
          </w:tcPr>
          <w:p>
            <w:pPr>
              <w:pStyle w:val="TableContents"/>
              <w:bidi w:val="0"/>
              <w:spacing w:before="0" w:after="283"/>
              <w:jc w:val="right"/>
              <w:rPr/>
            </w:pPr>
            <w:r>
              <w:rPr/>
              <w:t xml:space="preserve">$ 9.32 </w:t>
            </w:r>
          </w:p>
        </w:tc>
        <w:tc>
          <w:tcPr>
            <w:tcW w:w="1966" w:type="dxa"/>
            <w:tcBorders/>
            <w:shd w:fill="E7E7E2" w:val="clear"/>
            <w:vAlign w:val="center"/>
          </w:tcPr>
          <w:p>
            <w:pPr>
              <w:pStyle w:val="TableContents"/>
              <w:bidi w:val="0"/>
              <w:spacing w:before="0" w:after="283"/>
              <w:jc w:val="right"/>
              <w:rPr/>
            </w:pPr>
            <w:r>
              <w:rPr/>
              <w:t xml:space="preserve">$ 411,384.80 </w:t>
            </w:r>
          </w:p>
        </w:tc>
        <w:tc>
          <w:tcPr>
            <w:tcW w:w="1006" w:type="dxa"/>
            <w:tcBorders/>
            <w:shd w:fill="E7E7E2" w:val="clear"/>
            <w:vAlign w:val="center"/>
          </w:tcPr>
          <w:p>
            <w:pPr>
              <w:pStyle w:val="TableContents"/>
              <w:bidi w:val="0"/>
              <w:spacing w:before="0" w:after="283"/>
              <w:jc w:val="right"/>
              <w:rPr/>
            </w:pPr>
            <w:r>
              <w:rPr/>
              <w:t xml:space="preserve">0.000087 </w:t>
            </w:r>
          </w:p>
        </w:tc>
        <w:tc>
          <w:tcPr>
            <w:tcW w:w="1411" w:type="dxa"/>
            <w:tcBorders/>
            <w:shd w:fill="E7E7E2" w:val="clear"/>
            <w:vAlign w:val="center"/>
          </w:tcPr>
          <w:p>
            <w:pPr>
              <w:pStyle w:val="TableContents"/>
              <w:bidi w:val="0"/>
              <w:spacing w:before="0" w:after="283"/>
              <w:jc w:val="right"/>
              <w:rPr/>
            </w:pPr>
            <w:r>
              <w:rPr/>
              <w:t xml:space="preserve">$ 35.79 </w:t>
            </w:r>
          </w:p>
        </w:tc>
      </w:tr>
      <w:tr>
        <w:trPr/>
        <w:tc>
          <w:tcPr>
            <w:tcW w:w="241"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Other </w:t>
            </w:r>
          </w:p>
        </w:tc>
        <w:tc>
          <w:tcPr>
            <w:tcW w:w="1471" w:type="dxa"/>
            <w:tcBorders/>
            <w:shd w:fill="E7E7E2" w:val="clear"/>
            <w:vAlign w:val="center"/>
          </w:tcPr>
          <w:p>
            <w:pPr>
              <w:pStyle w:val="TableContents"/>
              <w:bidi w:val="0"/>
              <w:spacing w:before="0" w:after="283"/>
              <w:jc w:val="left"/>
              <w:rPr/>
            </w:pPr>
            <w:r>
              <w:rPr/>
              <w:t xml:space="preserve">Deferred Compensation Obligations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1,000,000 </w:t>
            </w:r>
          </w:p>
        </w:tc>
        <w:tc>
          <w:tcPr>
            <w:tcW w:w="1156" w:type="dxa"/>
            <w:tcBorders/>
            <w:shd w:fill="E7E7E2" w:val="clear"/>
            <w:vAlign w:val="center"/>
          </w:tcPr>
          <w:p>
            <w:pPr>
              <w:pStyle w:val="TableContents"/>
              <w:bidi w:val="0"/>
              <w:spacing w:before="0" w:after="283"/>
              <w:jc w:val="right"/>
              <w:rPr/>
            </w:pPr>
            <w:r>
              <w:rPr/>
              <w:t xml:space="preserve">$ 1.00 </w:t>
            </w:r>
          </w:p>
        </w:tc>
        <w:tc>
          <w:tcPr>
            <w:tcW w:w="1966" w:type="dxa"/>
            <w:tcBorders/>
            <w:shd w:fill="E7E7E2" w:val="clear"/>
            <w:vAlign w:val="center"/>
          </w:tcPr>
          <w:p>
            <w:pPr>
              <w:pStyle w:val="TableContents"/>
              <w:bidi w:val="0"/>
              <w:spacing w:before="0" w:after="283"/>
              <w:jc w:val="right"/>
              <w:rPr/>
            </w:pPr>
            <w:r>
              <w:rPr/>
              <w:t xml:space="preserve">$ 1,000,000.00 </w:t>
            </w:r>
          </w:p>
        </w:tc>
        <w:tc>
          <w:tcPr>
            <w:tcW w:w="1006" w:type="dxa"/>
            <w:tcBorders/>
            <w:shd w:fill="E7E7E2" w:val="clear"/>
            <w:vAlign w:val="center"/>
          </w:tcPr>
          <w:p>
            <w:pPr>
              <w:pStyle w:val="TableContents"/>
              <w:bidi w:val="0"/>
              <w:spacing w:before="0" w:after="283"/>
              <w:jc w:val="right"/>
              <w:rPr/>
            </w:pPr>
            <w:r>
              <w:rPr/>
              <w:t xml:space="preserve">0.000087 </w:t>
            </w:r>
          </w:p>
        </w:tc>
        <w:tc>
          <w:tcPr>
            <w:tcW w:w="1411" w:type="dxa"/>
            <w:tcBorders/>
            <w:shd w:fill="E7E7E2" w:val="clear"/>
            <w:vAlign w:val="center"/>
          </w:tcPr>
          <w:p>
            <w:pPr>
              <w:pStyle w:val="TableContents"/>
              <w:bidi w:val="0"/>
              <w:spacing w:before="0" w:after="283"/>
              <w:jc w:val="right"/>
              <w:rPr/>
            </w:pPr>
            <w:r>
              <w:rPr/>
              <w:t xml:space="preserve">$ 87.00 </w:t>
            </w:r>
          </w:p>
        </w:tc>
      </w:tr>
      <w:tr>
        <w:trPr/>
        <w:tc>
          <w:tcPr>
            <w:tcW w:w="524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15" w:name="MaxAggtOfferingPrice"/>
            <w:bookmarkEnd w:id="15"/>
            <w:r>
              <w:rPr/>
              <w:t xml:space="preserve">$ 2,876,993,709.12 </w:t>
            </w:r>
          </w:p>
        </w:tc>
        <w:tc>
          <w:tcPr>
            <w:tcW w:w="1006" w:type="dxa"/>
            <w:tcBorders/>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$ 250,298.45 </w:t>
            </w:r>
          </w:p>
        </w:tc>
      </w:tr>
      <w:tr>
        <w:trPr/>
        <w:tc>
          <w:tcPr>
            <w:tcW w:w="524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524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8" w:name="NetFeeAmt"/>
            <w:bookmarkEnd w:id="18"/>
            <w:r>
              <w:rPr/>
              <w:t xml:space="preserve">$ 250,298.45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9"/>
        <w:gridCol w:w="8708"/>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a. Pursuant to Rule 416(a) promulgated under the Securities Act of 1933, as amended (the "Securities Act"), this Registration Statement shall also cover any additional shares of Class B common stock of Paramount Skydance Corporation (the "Company"), par value $0.001 per share ("Class B Common Stock"), that may become issuable by reason of, or to prevent dilution from, any stock dividend, stock split, recapitalization or other similar transaction effected without receipt of consideration that increases the number of outstanding shares of Class B Common Stock under (i) the Paramount Skydance Corporation 2025 Incentive Award Plan (the "2025 Plan"); and (ii) the Warner Bros. Discovery, Inc. Non-Employee Directors Deferral Plan (the "Director Deferred Compensation Plan") (which will be assumed by the Company in connection with the transactions consummated pursuant to that certain Agreement and Plan of Merger (the "Merger Agreement"), dated as of February 27, 2026, by and among the Company, Warner Bros. Discovery, Inc., and Prince Sub Inc. (the "Transactions")). b. Represents additional shares of Class B Common Stock reserved for issuance under the 2025 Plan, pursuant to an amendment to the 2025 Plan, consisting of shares of Class B Common Stock that remain available for issuance under the Warner Bros. Discovery, Inc. Amended and Restated Stock Incentive Plan upon the closing of the Transactions (as adjusted by the Equity Award Exchange Ratio (as defined in the Merger Agreement)). c. Pursuant to Rule 457(c) and 457(h) of the Securities Act, the proposed maximum offering price per share and the proposed maximum aggregate offering price are estimated solely for the purpose of computing the amount of the registration fee with respect to additional shares issuable under the 2025 Plan and the Director Deferred Compensation Plan, under the Securities Act in accordance with Rule 457(c), on the basis of the average of the high and low prices of shares of Paramount Skydance Corporation's Class B common stock, par value $0.001, as reported on the Nasdaq Global Select Market on October 2, 2026 of $9.32.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See offering Note 1a &amp; 1c. Represents shares of Class B Common Stock reserved for issuance under the Director Deferred Compensation Plan, consisting of shares of Class B Common Stock that remain issuable upon settlement of certain deferred compensation obligations under the Director Deferred Compensation Plan upon the closing of the Transactions (as adjusted by the Equity Award Exchange Ratio). Pursuant to Rule 416(c) of the Securities Act, this Registration Statement also covers an indeterminate amount of interests to be offered or sold pursuant to the Director Deferred Compensation Plan.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See offering Note 1a. These Deferred Compensation Obligations represent unsecured obligations of the Company to pay deferred compensation in the future in accordance with the terms of the Warner Bros. Discovery Supplemental Retirement Plan (the "Employee Deferred Compensation Plan"). The amount to be registered represents the dollar amount of the Deferred Compensation Obligations with respect to the Employee Deferred Compensation Plan.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2041610/000204161026000011/psky-20251231.htm" TargetMode="External"/><Relationship Id="rId3" Type="http://schemas.openxmlformats.org/officeDocument/2006/relationships/hyperlink" Target="http://www.sec.gov/ix?doc=/Archives/edgar/data/2041610/000114036126016758/ef20071103_10ka.htm" TargetMode="External"/><Relationship Id="rId4" Type="http://schemas.openxmlformats.org/officeDocument/2006/relationships/hyperlink" Target="http://www.sec.gov/ix?doc=/Archives/edgar/data/2041610/000204161026000033/psky-20260513_d2.htm" TargetMode="External"/><Relationship Id="rId5" Type="http://schemas.openxmlformats.org/officeDocument/2006/relationships/hyperlink" Target="https://www.sec.gov/ix?doc=/Archives/edgar/data/2041610/000204161026000026/psky-20260331.htm" TargetMode="External"/><Relationship Id="rId6" Type="http://schemas.openxmlformats.org/officeDocument/2006/relationships/hyperlink" Target="https://www.sec.gov/ix?doc=/Archives/edgar/data/2041610/000204161026000054/psky-20260630.htm" TargetMode="External"/><Relationship Id="rId7" Type="http://schemas.openxmlformats.org/officeDocument/2006/relationships/hyperlink" Target="https://www.sec.gov/ix?doc=/Archives/edgar/data/2041610/000204161026000003/psky-20260113.htm" TargetMode="External"/><Relationship Id="rId8" Type="http://schemas.openxmlformats.org/officeDocument/2006/relationships/hyperlink" Target="https://www.sec.gov/ix?doc=/Archives/edgar/data/2041610/000110465926005609/tm2533570d39_8k.htm" TargetMode="External"/><Relationship Id="rId9" Type="http://schemas.openxmlformats.org/officeDocument/2006/relationships/hyperlink" Target="https://www.sec.gov/ix?doc=/Archives/edgar/data/2041610/000110465926012401/tm2533570d50_8k.htm" TargetMode="External"/><Relationship Id="rId10" Type="http://schemas.openxmlformats.org/officeDocument/2006/relationships/hyperlink" Target="https://www.sec.gov/ix?doc=/Archives/edgar/data/2041610/000110465926021911/tm2533570d75_8k.htm" TargetMode="External"/><Relationship Id="rId11" Type="http://schemas.openxmlformats.org/officeDocument/2006/relationships/hyperlink" Target="https://www.sec.gov/ix?doc=/Archives/edgar/data/2041610/000110465926040178/tm2611206d1_8k.htm" TargetMode="External"/><Relationship Id="rId12" Type="http://schemas.openxmlformats.org/officeDocument/2006/relationships/hyperlink" Target="https://www.sec.gov/ix?doc=/Archives/edgar/data/2041610/000110465926041263/tm2610616d2_8k.htm" TargetMode="External"/><Relationship Id="rId13" Type="http://schemas.openxmlformats.org/officeDocument/2006/relationships/hyperlink" Target="https://www.sec.gov/ix?doc=/Archives/edgar/data/2041610/000204161026000041/psky-20260629.htm" TargetMode="External"/><Relationship Id="rId14" Type="http://schemas.openxmlformats.org/officeDocument/2006/relationships/hyperlink" Target="https://www.sec.gov/ix?doc=/Archives/edgar/data/2041610/000204161026000043/psky-20260720.htm" TargetMode="External"/><Relationship Id="rId15" Type="http://schemas.openxmlformats.org/officeDocument/2006/relationships/hyperlink" Target="https://www.sec.gov/ix?doc=/Archives/edgar/data/2041610/000110465926089245/tm2610616d8_8k.htm" TargetMode="External"/><Relationship Id="rId16" Type="http://schemas.openxmlformats.org/officeDocument/2006/relationships/hyperlink" Target="https://www.sec.gov/ix?doc=/Archives/edgar/data/2041610/000110465926090460/tm2610616d9_8ka.htm" TargetMode="External"/><Relationship Id="rId17" Type="http://schemas.openxmlformats.org/officeDocument/2006/relationships/hyperlink" Target="https://www.sec.gov/ix?doc=/Archives/edgar/data/2041610/000110465926111034/tm2610616d11_8k.htm" TargetMode="External"/><Relationship Id="rId18" Type="http://schemas.openxmlformats.org/officeDocument/2006/relationships/hyperlink" Target="https://www.sec.gov/ix?doc=/Archives/edgar/data/2041610/000110465926112347/tm2626659d1_8k.htm" TargetMode="External"/><Relationship Id="rId19" Type="http://schemas.openxmlformats.org/officeDocument/2006/relationships/hyperlink" Target="https://www.sec.gov/ix?doc=/Archives/edgar/data/2041610/000110465926112829/tm2626659d2_8k.htm" TargetMode="External"/><Relationship Id="rId20" Type="http://schemas.openxmlformats.org/officeDocument/2006/relationships/hyperlink" Target="https://www.sec.gov/Archives/edgar/data/2041610/000119312524250679/d813356ds4.htm" TargetMode="External"/><Relationship Id="rId21" Type="http://schemas.openxmlformats.org/officeDocument/2006/relationships/hyperlink" Target="https://www.sec.gov/ix?doc=/Archives/edgar/data/2041610/000204161026000011/psky-20251231.htm" TargetMode="External"/><Relationship Id="rId22" Type="http://schemas.openxmlformats.org/officeDocument/2006/relationships/hyperlink" Target="https://www.sec.gov/ix?doc=/Archives/edgar/data/2041610/000110465926040178/tm2611206d1_8k.htm" TargetMode="External"/><Relationship Id="rId23" Type="http://schemas.openxmlformats.org/officeDocument/2006/relationships/hyperlink" Target="http://www.sec.gov/Archives/edgar/data/2041610/000119312525175046/d841914dex31.htm" TargetMode="External"/><Relationship Id="rId24" Type="http://schemas.openxmlformats.org/officeDocument/2006/relationships/hyperlink" Target="http://www.sec.gov/Archives/edgar/data/2041610/000119312525175046/d841914dex31.htm" TargetMode="External"/><Relationship Id="rId25" Type="http://schemas.openxmlformats.org/officeDocument/2006/relationships/hyperlink" Target="http://www.sec.gov/Archives/edgar/data/2041610/000119312525175046/d841914dex31.htm" TargetMode="External"/><Relationship Id="rId26" Type="http://schemas.openxmlformats.org/officeDocument/2006/relationships/hyperlink" Target="http://www.sec.gov/Archives/edgar/data/2041610/000119312525175046/d841914dex31.htm" TargetMode="External"/><Relationship Id="rId27" Type="http://schemas.openxmlformats.org/officeDocument/2006/relationships/hyperlink" Target="http://www.sec.gov/Archives/edgar/data/2041610/000119312525175046/d841914dex31.htm" TargetMode="External"/><Relationship Id="rId28" Type="http://schemas.openxmlformats.org/officeDocument/2006/relationships/hyperlink" Target="http://www.sec.gov/Archives/edgar/data/2041610/000119312525175046/d841914dex31.htm" TargetMode="External"/><Relationship Id="rId29" Type="http://schemas.openxmlformats.org/officeDocument/2006/relationships/hyperlink" Target="http://www.sec.gov/Archives/edgar/data/2041610/000110465926040178/tm2611206d1_ex3-1.htm" TargetMode="External"/><Relationship Id="rId30" Type="http://schemas.openxmlformats.org/officeDocument/2006/relationships/hyperlink" Target="http://www.sec.gov/Archives/edgar/data/2041610/000110465926040178/tm2611206d1_ex3-1.htm" TargetMode="External"/><Relationship Id="rId31" Type="http://schemas.openxmlformats.org/officeDocument/2006/relationships/hyperlink" Target="http://www.sec.gov/Archives/edgar/data/2041610/000110465926040178/tm2611206d1_ex3-1.htm" TargetMode="External"/><Relationship Id="rId32" Type="http://schemas.openxmlformats.org/officeDocument/2006/relationships/hyperlink" Target="http://www.sec.gov/Archives/edgar/data/2041610/000110465926040178/tm2611206d1_ex3-1.htm" TargetMode="External"/><Relationship Id="rId33" Type="http://schemas.openxmlformats.org/officeDocument/2006/relationships/hyperlink" Target="http://www.sec.gov/Archives/edgar/data/2041610/000110465926040178/tm2611206d1_ex3-1.htm" TargetMode="External"/><Relationship Id="rId34" Type="http://schemas.openxmlformats.org/officeDocument/2006/relationships/hyperlink" Target="http://www.sec.gov/Archives/edgar/data/2041610/000110465926040178/tm2611206d1_ex3-1.htm" TargetMode="External"/><Relationship Id="rId35" Type="http://schemas.openxmlformats.org/officeDocument/2006/relationships/hyperlink" Target="http://www.sec.gov/Archives/edgar/data/2041610/000119312525175046/d841914dex32.htm" TargetMode="External"/><Relationship Id="rId36" Type="http://schemas.openxmlformats.org/officeDocument/2006/relationships/hyperlink" Target="http://www.sec.gov/Archives/edgar/data/2041610/000119312525175046/d841914dex32.htm" TargetMode="External"/><Relationship Id="rId37" Type="http://schemas.openxmlformats.org/officeDocument/2006/relationships/hyperlink" Target="http://www.sec.gov/Archives/edgar/data/2041610/000119312525175046/d841914dex32.htm" TargetMode="External"/><Relationship Id="rId38" Type="http://schemas.openxmlformats.org/officeDocument/2006/relationships/hyperlink" Target="http://www.sec.gov/Archives/edgar/data/2041610/000119312525175046/d841914dex32.htm" TargetMode="External"/><Relationship Id="rId39" Type="http://schemas.openxmlformats.org/officeDocument/2006/relationships/hyperlink" Target="http://www.sec.gov/Archives/edgar/data/2041610/000119312525175046/d841914dex32.htm" TargetMode="External"/><Relationship Id="rId40" Type="http://schemas.openxmlformats.org/officeDocument/2006/relationships/hyperlink" Target="http://www.sec.gov/Archives/edgar/data/2041610/000119312525175046/d841914dex32.htm" TargetMode="External"/><Relationship Id="rId41" Type="http://schemas.openxmlformats.org/officeDocument/2006/relationships/hyperlink" Target="http://www.sec.gov/Archives/edgar/data/2041610/000119312525175091/d16487dex41.htm" TargetMode="External"/><Relationship Id="rId42" Type="http://schemas.openxmlformats.org/officeDocument/2006/relationships/hyperlink" Target="http://www.sec.gov/Archives/edgar/data/2041610/000119312525175091/d16487dex41.htm" TargetMode="External"/><Relationship Id="rId43" Type="http://schemas.openxmlformats.org/officeDocument/2006/relationships/hyperlink" Target="http://www.sec.gov/Archives/edgar/data/2041610/000119312525175091/d16487dex41.htm" TargetMode="External"/><Relationship Id="rId44" Type="http://schemas.openxmlformats.org/officeDocument/2006/relationships/hyperlink" Target="http://www.sec.gov/Archives/edgar/data/2041610/000119312525175091/d16487dex41.htm" TargetMode="External"/><Relationship Id="rId45" Type="http://schemas.openxmlformats.org/officeDocument/2006/relationships/hyperlink" Target="http://www.sec.gov/Archives/edgar/data/2041610/000119312525175091/d16487dex41.htm" TargetMode="External"/><Relationship Id="rId46" Type="http://schemas.openxmlformats.org/officeDocument/2006/relationships/hyperlink" Target="http://www.sec.gov/Archives/edgar/data/2041610/000119312525175091/d16487dex41.htm" TargetMode="External"/><Relationship Id="rId47" Type="http://schemas.openxmlformats.org/officeDocument/2006/relationships/hyperlink" Target="http://www.sec.gov/Archives/edgar/data/1437107/000119312522307450/d156747dex101.htm" TargetMode="External"/><Relationship Id="rId48" Type="http://schemas.openxmlformats.org/officeDocument/2006/relationships/hyperlink" Target="http://www.sec.gov/Archives/edgar/data/1437107/000119312522307450/d156747dex101.htm" TargetMode="External"/><Relationship Id="rId49" Type="http://schemas.openxmlformats.org/officeDocument/2006/relationships/hyperlink" Target="http://www.sec.gov/Archives/edgar/data/1437107/000119312522307450/d156747dex101.htm" TargetMode="External"/><Relationship Id="rId50" Type="http://schemas.openxmlformats.org/officeDocument/2006/relationships/hyperlink" Target="http://www.sec.gov/Archives/edgar/data/1437107/000119312522307450/d156747dex101.htm" TargetMode="External"/><Relationship Id="rId51" Type="http://schemas.openxmlformats.org/officeDocument/2006/relationships/hyperlink" Target="http://www.sec.gov/Archives/edgar/data/1437107/000119312522307450/d156747dex101.htm" TargetMode="External"/><Relationship Id="rId52" Type="http://schemas.openxmlformats.org/officeDocument/2006/relationships/hyperlink" Target="http://www.sec.gov/Archives/edgar/data/1437107/000119312522307450/d156747dex101.htm" TargetMode="External"/><Relationship Id="rId53" Type="http://schemas.openxmlformats.org/officeDocument/2006/relationships/hyperlink" Target="http://www.sec.gov/Archives/edgar/data/1437107/000143710723000019/a20221231-ex1021suppleme.htm" TargetMode="External"/><Relationship Id="rId54" Type="http://schemas.openxmlformats.org/officeDocument/2006/relationships/hyperlink" Target="http://www.sec.gov/Archives/edgar/data/1437107/000143710723000019/a20221231-ex1021suppleme.htm" TargetMode="External"/><Relationship Id="rId55" Type="http://schemas.openxmlformats.org/officeDocument/2006/relationships/hyperlink" Target="http://www.sec.gov/Archives/edgar/data/1437107/000143710723000019/a20221231-ex1021suppleme.htm" TargetMode="External"/><Relationship Id="rId56" Type="http://schemas.openxmlformats.org/officeDocument/2006/relationships/hyperlink" Target="http://www.sec.gov/Archives/edgar/data/1437107/000143710723000019/a20221231-ex1021suppleme.htm" TargetMode="External"/><Relationship Id="rId57" Type="http://schemas.openxmlformats.org/officeDocument/2006/relationships/hyperlink" Target="http://www.sec.gov/Archives/edgar/data/1437107/000143710723000019/a20221231-ex1021suppleme.htm" TargetMode="External"/><Relationship Id="rId58" Type="http://schemas.openxmlformats.org/officeDocument/2006/relationships/hyperlink" Target="http://www.sec.gov/Archives/edgar/data/1437107/000143710723000019/a20221231-ex1021suppleme.htm" TargetMode="External"/><Relationship Id="rId59" Type="http://schemas.openxmlformats.org/officeDocument/2006/relationships/image" Target="media/image1.jpeg"/><Relationship Id="rId60" Type="http://schemas.openxmlformats.org/officeDocument/2006/relationships/image" Target="media/image2.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7891</Words>
  <Characters>42232</Characters>
  <CharactersWithSpaces>50359</CharactersWithSpaces>
  <Paragraphs>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